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本次检验项目</w:t>
      </w:r>
    </w:p>
    <w:p>
      <w:pPr>
        <w:numPr>
          <w:ilvl w:val="0"/>
          <w:numId w:val="0"/>
        </w:numPr>
        <w:spacing w:line="58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餐饮</w:t>
      </w:r>
      <w:r>
        <w:rPr>
          <w:rFonts w:hint="eastAsia" w:ascii="黑体" w:hAnsi="黑体" w:eastAsia="黑体" w:cs="黑体"/>
          <w:sz w:val="32"/>
          <w:szCs w:val="32"/>
        </w:rPr>
        <w:t>食品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、小作坊生产加工食品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2762-2017《食品安全国家标准食品中污染物限量》、</w:t>
      </w:r>
      <w:r>
        <w:rPr>
          <w:rFonts w:hint="eastAsia" w:ascii="仿宋" w:hAnsi="仿宋" w:eastAsia="仿宋" w:cs="仿宋"/>
          <w:sz w:val="32"/>
          <w:szCs w:val="32"/>
        </w:rPr>
        <w:t>GB 14934-2016《食品安全国家标准 消毒餐（饮）具》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GB 19298-2014《食品安全国家标准 包装饮用水》,等标准及产品明示标准和指标的要求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1.熟肉制品监督抽检项目包括亚硝酸盐,苯甲酸及其钠盐,胭脂红 。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2.餐饮具监督抽检项目包括游离性余氯,阴离子合成洗涤剂,大肠菌群 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3.桶装水监督抽检项目包括耗氧量(以O₂计),溴酸盐,大肠菌群,铜绿假单胞菌,亚硝酸盐(以NO₂⁻计)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4.发酵面制品监督抽检项目包括甲醛次硫酸氢钠（以甲醛计）,铝的残留量(干样品，以Al计)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5.餐饮食品监督抽检项目包括亚硝酸盐,山梨酸及其钾盐,糖精钠,苯甲酸及其钠盐,脱氢乙酸及其钠盐,甜蜜素。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23A"/>
    <w:multiLevelType w:val="singleLevel"/>
    <w:tmpl w:val="41301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3504"/>
    <w:rsid w:val="083B0E9D"/>
    <w:rsid w:val="35ED06F8"/>
    <w:rsid w:val="3610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twinkle</cp:lastModifiedBy>
  <dcterms:modified xsi:type="dcterms:W3CDTF">2020-11-05T00:26:32Z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