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pacing w:val="7"/>
          <w:sz w:val="32"/>
          <w:szCs w:val="32"/>
          <w:u w:val="none" w:color="auto"/>
        </w:rPr>
      </w:pPr>
    </w:p>
    <w:p>
      <w:pPr>
        <w:jc w:val="center"/>
        <w:rPr>
          <w:rFonts w:hint="eastAsia" w:ascii="宋体" w:hAnsi="宋体" w:eastAsia="宋体" w:cs="宋体"/>
          <w:b/>
          <w:bCs/>
          <w:spacing w:val="7"/>
          <w:sz w:val="32"/>
          <w:szCs w:val="32"/>
          <w:u w:val="none" w:color="auto"/>
        </w:rPr>
      </w:pPr>
    </w:p>
    <w:p>
      <w:pPr>
        <w:jc w:val="center"/>
        <w:rPr>
          <w:rFonts w:hint="eastAsia" w:ascii="宋体" w:hAnsi="宋体" w:eastAsia="宋体" w:cs="宋体"/>
          <w:b/>
          <w:bCs/>
          <w:spacing w:val="7"/>
          <w:sz w:val="32"/>
          <w:szCs w:val="32"/>
          <w:u w:val="none" w:color="auto"/>
        </w:rPr>
      </w:pPr>
    </w:p>
    <w:p>
      <w:pPr>
        <w:pStyle w:val="13"/>
        <w:rPr>
          <w:rFonts w:hint="eastAsia" w:ascii="宋体" w:hAnsi="宋体" w:eastAsia="宋体" w:cs="宋体"/>
          <w:b/>
          <w:bCs/>
          <w:spacing w:val="7"/>
          <w:sz w:val="32"/>
          <w:szCs w:val="32"/>
          <w:u w:val="none" w:color="auto"/>
        </w:rPr>
      </w:pPr>
    </w:p>
    <w:p>
      <w:pPr>
        <w:pStyle w:val="13"/>
        <w:rPr>
          <w:rFonts w:hint="eastAsia" w:ascii="宋体" w:hAnsi="宋体" w:eastAsia="宋体" w:cs="宋体"/>
          <w:b/>
          <w:bCs/>
          <w:spacing w:val="7"/>
          <w:sz w:val="32"/>
          <w:szCs w:val="32"/>
          <w:u w:val="none" w:color="auto"/>
        </w:rPr>
      </w:pPr>
    </w:p>
    <w:p>
      <w:pPr>
        <w:pStyle w:val="13"/>
        <w:rPr>
          <w:rFonts w:hint="eastAsia"/>
        </w:rPr>
      </w:pPr>
    </w:p>
    <w:p>
      <w:pPr>
        <w:adjustRightInd w:val="0"/>
        <w:snapToGrid w:val="0"/>
        <w:spacing w:line="360" w:lineRule="auto"/>
        <w:jc w:val="center"/>
        <w:outlineLvl w:val="0"/>
        <w:rPr>
          <w:rFonts w:hint="eastAsia" w:ascii="Times New Roman" w:hAnsi="Times New Roman" w:eastAsia="黑体"/>
          <w:bCs/>
          <w:sz w:val="36"/>
          <w:szCs w:val="36"/>
          <w:lang w:val="en-US" w:eastAsia="zh-CN"/>
        </w:rPr>
      </w:pPr>
      <w:bookmarkStart w:id="0" w:name="_Toc5291"/>
      <w:bookmarkStart w:id="1" w:name="_Toc1419"/>
      <w:r>
        <w:rPr>
          <w:rFonts w:hint="eastAsia" w:ascii="Times New Roman" w:hAnsi="Times New Roman" w:eastAsia="黑体"/>
          <w:bCs/>
          <w:sz w:val="36"/>
          <w:szCs w:val="36"/>
        </w:rPr>
        <w:t>潼关县桐峪镇污水处理站及配套管网工程</w:t>
      </w:r>
      <w:r>
        <w:rPr>
          <w:rFonts w:hint="eastAsia" w:ascii="Times New Roman" w:hAnsi="Times New Roman" w:eastAsia="黑体"/>
          <w:bCs/>
          <w:sz w:val="36"/>
          <w:szCs w:val="36"/>
          <w:lang w:val="en-US" w:eastAsia="zh-CN"/>
        </w:rPr>
        <w:t>项目</w:t>
      </w:r>
      <w:bookmarkEnd w:id="0"/>
      <w:bookmarkEnd w:id="1"/>
    </w:p>
    <w:p>
      <w:pPr>
        <w:adjustRightInd w:val="0"/>
        <w:snapToGrid w:val="0"/>
        <w:spacing w:line="360" w:lineRule="auto"/>
        <w:jc w:val="center"/>
        <w:outlineLvl w:val="0"/>
        <w:rPr>
          <w:rFonts w:hint="eastAsia" w:ascii="Times New Roman" w:hAnsi="Times New Roman" w:eastAsia="黑体"/>
          <w:bCs/>
          <w:sz w:val="36"/>
          <w:szCs w:val="36"/>
        </w:rPr>
      </w:pPr>
      <w:bookmarkStart w:id="2" w:name="_Toc27012"/>
      <w:bookmarkStart w:id="3" w:name="_Toc23092"/>
      <w:r>
        <w:rPr>
          <w:rFonts w:hint="eastAsia" w:ascii="Times New Roman" w:hAnsi="Times New Roman" w:eastAsia="黑体"/>
          <w:bCs/>
          <w:sz w:val="36"/>
          <w:szCs w:val="36"/>
        </w:rPr>
        <w:t>入河排污口设置简要分析材料</w:t>
      </w:r>
      <w:bookmarkEnd w:id="2"/>
      <w:bookmarkEnd w:id="3"/>
    </w:p>
    <w:p>
      <w:pPr>
        <w:pStyle w:val="13"/>
        <w:rPr>
          <w:rFonts w:hint="eastAsia"/>
        </w:rPr>
      </w:pPr>
    </w:p>
    <w:p>
      <w:pPr>
        <w:rPr>
          <w:rFonts w:hint="eastAsia" w:ascii="宋体" w:hAnsi="宋体" w:eastAsia="宋体" w:cs="宋体"/>
          <w:spacing w:val="7"/>
          <w:sz w:val="30"/>
          <w:szCs w:val="30"/>
          <w:u w:val="none" w:color="auto"/>
          <w:lang w:val="en-US" w:eastAsia="zh-CN"/>
        </w:rPr>
      </w:pPr>
    </w:p>
    <w:p>
      <w:pPr>
        <w:pStyle w:val="13"/>
        <w:rPr>
          <w:rFonts w:hint="eastAsia" w:ascii="宋体" w:hAnsi="宋体" w:eastAsia="宋体" w:cs="宋体"/>
          <w:spacing w:val="7"/>
          <w:sz w:val="30"/>
          <w:szCs w:val="30"/>
          <w:u w:val="none" w:color="auto"/>
          <w:lang w:val="en-US" w:eastAsia="zh-CN"/>
        </w:rPr>
      </w:pPr>
    </w:p>
    <w:p>
      <w:pPr>
        <w:pStyle w:val="13"/>
        <w:rPr>
          <w:rFonts w:hint="eastAsia" w:ascii="宋体" w:hAnsi="宋体" w:eastAsia="宋体" w:cs="宋体"/>
          <w:spacing w:val="7"/>
          <w:sz w:val="30"/>
          <w:szCs w:val="30"/>
          <w:u w:val="none" w:color="auto"/>
          <w:lang w:val="en-US" w:eastAsia="zh-CN"/>
        </w:rPr>
      </w:pPr>
    </w:p>
    <w:p>
      <w:pPr>
        <w:pStyle w:val="13"/>
        <w:rPr>
          <w:rFonts w:hint="eastAsia" w:ascii="宋体" w:hAnsi="宋体" w:eastAsia="宋体" w:cs="宋体"/>
          <w:spacing w:val="7"/>
          <w:sz w:val="30"/>
          <w:szCs w:val="30"/>
          <w:u w:val="none" w:color="auto"/>
          <w:lang w:val="en-US" w:eastAsia="zh-CN"/>
        </w:rPr>
      </w:pPr>
    </w:p>
    <w:p>
      <w:pPr>
        <w:pStyle w:val="13"/>
        <w:rPr>
          <w:rFonts w:hint="eastAsia" w:ascii="宋体" w:hAnsi="宋体" w:eastAsia="宋体" w:cs="宋体"/>
          <w:spacing w:val="7"/>
          <w:sz w:val="30"/>
          <w:szCs w:val="30"/>
          <w:u w:val="none" w:color="auto"/>
          <w:lang w:val="en-US" w:eastAsia="zh-CN"/>
        </w:rPr>
      </w:pPr>
    </w:p>
    <w:p>
      <w:pPr>
        <w:pStyle w:val="13"/>
        <w:rPr>
          <w:rFonts w:hint="eastAsia" w:ascii="宋体" w:hAnsi="宋体" w:eastAsia="宋体" w:cs="宋体"/>
          <w:spacing w:val="7"/>
          <w:sz w:val="30"/>
          <w:szCs w:val="30"/>
          <w:u w:val="none" w:color="auto"/>
          <w:lang w:val="en-US" w:eastAsia="zh-CN"/>
        </w:rPr>
      </w:pPr>
    </w:p>
    <w:p>
      <w:pPr>
        <w:pStyle w:val="13"/>
        <w:rPr>
          <w:rFonts w:hint="eastAsia" w:ascii="宋体" w:hAnsi="宋体" w:eastAsia="宋体" w:cs="宋体"/>
          <w:spacing w:val="7"/>
          <w:sz w:val="30"/>
          <w:szCs w:val="30"/>
          <w:u w:val="none" w:color="auto"/>
          <w:lang w:val="en-US" w:eastAsia="zh-CN"/>
        </w:rPr>
      </w:pPr>
    </w:p>
    <w:p>
      <w:pPr>
        <w:widowControl/>
        <w:spacing w:line="360" w:lineRule="auto"/>
        <w:jc w:val="both"/>
        <w:rPr>
          <w:rFonts w:hint="eastAsia" w:ascii="Times New Roman" w:hAnsi="Times New Roman" w:eastAsia="黑体"/>
          <w:bCs/>
          <w:color w:val="auto"/>
          <w:sz w:val="30"/>
          <w:szCs w:val="30"/>
          <w:lang w:eastAsia="zh-CN"/>
        </w:rPr>
      </w:pPr>
      <w:r>
        <w:rPr>
          <w:rFonts w:hint="eastAsia" w:eastAsia="黑体"/>
          <w:bCs/>
          <w:sz w:val="30"/>
          <w:szCs w:val="30"/>
          <w:lang w:eastAsia="zh-CN"/>
        </w:rPr>
        <w:t>设置</w:t>
      </w:r>
      <w:r>
        <w:rPr>
          <w:rFonts w:hint="eastAsia" w:ascii="Times New Roman" w:hAnsi="Times New Roman" w:eastAsia="黑体"/>
          <w:bCs/>
          <w:sz w:val="30"/>
          <w:szCs w:val="30"/>
          <w:lang w:eastAsia="zh-CN"/>
        </w:rPr>
        <w:t>单位</w:t>
      </w:r>
      <w:r>
        <w:rPr>
          <w:rFonts w:hint="eastAsia" w:eastAsia="黑体"/>
          <w:bCs/>
          <w:sz w:val="30"/>
          <w:szCs w:val="30"/>
          <w:lang w:eastAsia="zh-CN"/>
        </w:rPr>
        <w:t>（签章）</w:t>
      </w:r>
      <w:r>
        <w:rPr>
          <w:rFonts w:hint="eastAsia" w:ascii="Times New Roman" w:hAnsi="Times New Roman" w:eastAsia="黑体"/>
          <w:bCs/>
          <w:sz w:val="30"/>
          <w:szCs w:val="30"/>
          <w:lang w:eastAsia="zh-CN"/>
        </w:rPr>
        <w:t>：</w:t>
      </w:r>
      <w:r>
        <w:rPr>
          <w:rFonts w:hint="eastAsia" w:ascii="Times New Roman" w:hAnsi="Times New Roman" w:eastAsia="黑体"/>
          <w:bCs/>
          <w:color w:val="auto"/>
          <w:sz w:val="30"/>
          <w:szCs w:val="30"/>
          <w:lang w:val="en-US" w:eastAsia="zh-CN"/>
        </w:rPr>
        <w:t>陕西省水务集团潼关县污水处理有限公司</w:t>
      </w:r>
    </w:p>
    <w:p>
      <w:pPr>
        <w:widowControl/>
        <w:spacing w:line="360" w:lineRule="auto"/>
        <w:jc w:val="both"/>
        <w:rPr>
          <w:rFonts w:hint="default" w:ascii="Times New Roman" w:hAnsi="Times New Roman" w:eastAsia="黑体"/>
          <w:bCs/>
          <w:color w:val="auto"/>
          <w:sz w:val="30"/>
          <w:szCs w:val="30"/>
          <w:lang w:val="en-US" w:eastAsia="zh-CN"/>
        </w:rPr>
      </w:pPr>
      <w:r>
        <w:rPr>
          <w:rFonts w:hint="eastAsia" w:ascii="Times New Roman" w:hAnsi="Times New Roman" w:eastAsia="黑体"/>
          <w:bCs/>
          <w:color w:val="auto"/>
          <w:sz w:val="30"/>
          <w:szCs w:val="30"/>
          <w:lang w:eastAsia="zh-CN"/>
        </w:rPr>
        <w:t>编制单位</w:t>
      </w:r>
      <w:r>
        <w:rPr>
          <w:rFonts w:hint="eastAsia" w:eastAsia="黑体"/>
          <w:bCs/>
          <w:color w:val="auto"/>
          <w:sz w:val="30"/>
          <w:szCs w:val="30"/>
          <w:lang w:eastAsia="zh-CN"/>
        </w:rPr>
        <w:t>（签章）</w:t>
      </w:r>
      <w:r>
        <w:rPr>
          <w:rFonts w:hint="eastAsia" w:ascii="Times New Roman" w:hAnsi="Times New Roman" w:eastAsia="黑体"/>
          <w:bCs/>
          <w:color w:val="auto"/>
          <w:sz w:val="30"/>
          <w:szCs w:val="30"/>
          <w:lang w:eastAsia="zh-CN"/>
        </w:rPr>
        <w:t>：</w:t>
      </w:r>
      <w:r>
        <w:rPr>
          <w:rFonts w:hint="eastAsia" w:ascii="Times New Roman" w:hAnsi="Times New Roman" w:eastAsia="黑体"/>
          <w:bCs/>
          <w:color w:val="auto"/>
          <w:sz w:val="30"/>
          <w:szCs w:val="30"/>
          <w:lang w:val="en-US" w:eastAsia="zh-CN"/>
        </w:rPr>
        <w:t>陕西博美云天环保科技有限公司</w:t>
      </w:r>
    </w:p>
    <w:p>
      <w:pPr>
        <w:widowControl/>
        <w:spacing w:line="360" w:lineRule="auto"/>
        <w:jc w:val="center"/>
        <w:rPr>
          <w:rFonts w:ascii="Times New Roman" w:hAnsi="Times New Roman" w:eastAsia="黑体"/>
          <w:color w:val="auto"/>
          <w:sz w:val="32"/>
          <w:szCs w:val="32"/>
        </w:rPr>
      </w:pPr>
      <w:r>
        <w:rPr>
          <w:rFonts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四</w:t>
      </w:r>
      <w:r>
        <w:rPr>
          <w:rFonts w:ascii="Times New Roman" w:hAnsi="Times New Roman" w:eastAsia="黑体"/>
          <w:color w:val="auto"/>
          <w:sz w:val="32"/>
          <w:szCs w:val="32"/>
        </w:rPr>
        <w:t>年</w:t>
      </w:r>
      <w:r>
        <w:rPr>
          <w:rFonts w:hint="eastAsia" w:eastAsia="黑体"/>
          <w:color w:val="auto"/>
          <w:sz w:val="32"/>
          <w:szCs w:val="32"/>
          <w:lang w:val="en-US" w:eastAsia="zh-CN"/>
        </w:rPr>
        <w:t>六</w:t>
      </w:r>
      <w:r>
        <w:rPr>
          <w:rFonts w:ascii="Times New Roman" w:hAnsi="Times New Roman" w:eastAsia="黑体"/>
          <w:color w:val="auto"/>
          <w:sz w:val="32"/>
          <w:szCs w:val="32"/>
        </w:rPr>
        <w:t>月</w:t>
      </w:r>
    </w:p>
    <w:p>
      <w:pPr>
        <w:pStyle w:val="13"/>
        <w:rPr>
          <w:rFonts w:hint="eastAsia" w:ascii="宋体" w:hAnsi="宋体" w:eastAsia="宋体" w:cs="宋体"/>
          <w:spacing w:val="7"/>
          <w:sz w:val="30"/>
          <w:szCs w:val="30"/>
          <w:u w:val="none" w:color="auto"/>
          <w:lang w:val="en-US" w:eastAsia="zh-CN"/>
        </w:rPr>
      </w:pPr>
    </w:p>
    <w:p>
      <w:pPr>
        <w:rPr>
          <w:rFonts w:ascii="宋体" w:hAnsi="宋体" w:eastAsia="宋体" w:cs="宋体"/>
          <w:spacing w:val="7"/>
          <w:sz w:val="30"/>
          <w:szCs w:val="30"/>
          <w:u w:val="none" w:color="auto"/>
        </w:rPr>
      </w:pPr>
    </w:p>
    <w:p>
      <w:pPr>
        <w:pStyle w:val="13"/>
        <w:rPr>
          <w:rFonts w:ascii="宋体" w:hAnsi="宋体" w:eastAsia="宋体" w:cs="宋体"/>
          <w:spacing w:val="7"/>
          <w:sz w:val="30"/>
          <w:szCs w:val="30"/>
          <w:u w:val="none" w:color="auto"/>
        </w:rPr>
      </w:pPr>
    </w:p>
    <w:p>
      <w:pPr>
        <w:pStyle w:val="2"/>
        <w:bidi w:val="0"/>
        <w:ind w:left="0" w:leftChars="0" w:firstLine="0" w:firstLineChars="0"/>
        <w:rPr>
          <w:rFonts w:hint="default"/>
        </w:rPr>
        <w:sectPr>
          <w:pgSz w:w="11906" w:h="16838"/>
          <w:pgMar w:top="1440" w:right="1746" w:bottom="1440" w:left="1746" w:header="851" w:footer="992" w:gutter="0"/>
          <w:pgNumType w:fmt="decimal"/>
          <w:cols w:space="425" w:num="1"/>
          <w:docGrid w:type="lines" w:linePitch="312" w:charSpace="0"/>
        </w:sectPr>
      </w:pPr>
      <w:bookmarkStart w:id="4" w:name="_Toc7871"/>
      <w:bookmarkStart w:id="5" w:name="_Toc2984"/>
      <w:bookmarkStart w:id="6" w:name="_Toc6335"/>
      <w:bookmarkStart w:id="7" w:name="_Toc18828"/>
    </w:p>
    <w:sdt>
      <w:sdtPr>
        <w:rPr>
          <w:rFonts w:ascii="宋体" w:hAnsi="宋体" w:eastAsia="宋体" w:cstheme="minorBidi"/>
          <w:b/>
          <w:bCs/>
          <w:kern w:val="2"/>
          <w:sz w:val="32"/>
          <w:szCs w:val="32"/>
          <w:lang w:val="en-US" w:eastAsia="zh-CN" w:bidi="ar-SA"/>
        </w:rPr>
        <w:id w:val="147469407"/>
        <w15:color w:val="DBDBDB"/>
        <w:docPartObj>
          <w:docPartGallery w:val="Table of Contents"/>
          <w:docPartUnique/>
        </w:docPartObj>
      </w:sdtPr>
      <w:sdtEndPr>
        <w:rPr>
          <w:b/>
        </w:rPr>
      </w:sdtEndPr>
      <w:sdtContent>
        <w:p>
          <w:pPr>
            <w:keepNext w:val="0"/>
            <w:keepLines w:val="0"/>
            <w:pageBreakBefore w:val="0"/>
            <w:kinsoku/>
            <w:wordWrap/>
            <w:overflowPunct/>
            <w:topLinePunct w:val="0"/>
            <w:autoSpaceDE/>
            <w:autoSpaceDN/>
            <w:bidi w:val="0"/>
            <w:adjustRightInd/>
            <w:snapToGrid/>
            <w:spacing w:before="0" w:beforeLines="0" w:after="0" w:afterLines="0" w:line="336" w:lineRule="auto"/>
            <w:ind w:left="0" w:leftChars="0" w:right="0" w:rightChars="0" w:firstLine="0" w:firstLineChars="0"/>
            <w:jc w:val="center"/>
            <w:textAlignment w:val="auto"/>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r>
            <w:fldChar w:fldCharType="begin"/>
          </w:r>
          <w:r>
            <w:instrText xml:space="preserve">TOC \o "1-2" \h \u </w:instrText>
          </w:r>
          <w:r>
            <w:fldChar w:fldCharType="separate"/>
          </w:r>
        </w:p>
        <w:p>
          <w:pPr>
            <w:pStyle w:val="11"/>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_Toc11660 </w:instrText>
          </w:r>
          <w:r>
            <w:rPr>
              <w:sz w:val="21"/>
              <w:szCs w:val="21"/>
            </w:rPr>
            <w:fldChar w:fldCharType="separate"/>
          </w:r>
          <w:r>
            <w:rPr>
              <w:rFonts w:hint="default" w:ascii="Times New Roman" w:hAnsi="Times New Roman" w:eastAsia="宋体" w:cs="宋体"/>
              <w:sz w:val="21"/>
              <w:szCs w:val="21"/>
            </w:rPr>
            <w:t xml:space="preserve">1 </w:t>
          </w:r>
          <w:r>
            <w:rPr>
              <w:rFonts w:hint="default"/>
              <w:sz w:val="21"/>
              <w:szCs w:val="21"/>
            </w:rPr>
            <w:t>总则</w:t>
          </w:r>
          <w:r>
            <w:rPr>
              <w:sz w:val="21"/>
              <w:szCs w:val="21"/>
            </w:rPr>
            <w:tab/>
          </w:r>
          <w:r>
            <w:rPr>
              <w:sz w:val="21"/>
              <w:szCs w:val="21"/>
            </w:rPr>
            <w:fldChar w:fldCharType="begin"/>
          </w:r>
          <w:r>
            <w:rPr>
              <w:sz w:val="21"/>
              <w:szCs w:val="21"/>
            </w:rPr>
            <w:instrText xml:space="preserve"> PAGEREF _Toc11660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_Toc10720 </w:instrText>
          </w:r>
          <w:r>
            <w:rPr>
              <w:sz w:val="21"/>
              <w:szCs w:val="21"/>
            </w:rPr>
            <w:fldChar w:fldCharType="separate"/>
          </w:r>
          <w:r>
            <w:rPr>
              <w:rFonts w:hint="default" w:ascii="Times New Roman" w:hAnsi="Times New Roman" w:eastAsia="宋体" w:cs="Times New Roman"/>
              <w:bCs/>
              <w:sz w:val="21"/>
              <w:szCs w:val="21"/>
              <w:highlight w:val="none"/>
            </w:rPr>
            <w:t>1.1</w:t>
          </w:r>
          <w:r>
            <w:rPr>
              <w:rFonts w:hint="eastAsia" w:ascii="Times New Roman" w:hAnsi="Times New Roman" w:eastAsia="宋体" w:cs="Times New Roman"/>
              <w:bCs/>
              <w:sz w:val="21"/>
              <w:szCs w:val="21"/>
              <w:highlight w:val="none"/>
              <w:lang w:val="en-US" w:eastAsia="zh-CN"/>
            </w:rPr>
            <w:t>分析</w:t>
          </w:r>
          <w:r>
            <w:rPr>
              <w:rFonts w:hint="default" w:ascii="Times New Roman" w:hAnsi="Times New Roman" w:eastAsia="宋体" w:cs="Times New Roman"/>
              <w:bCs/>
              <w:sz w:val="21"/>
              <w:szCs w:val="21"/>
              <w:highlight w:val="none"/>
            </w:rPr>
            <w:t>目的</w:t>
          </w:r>
          <w:r>
            <w:rPr>
              <w:sz w:val="21"/>
              <w:szCs w:val="21"/>
            </w:rPr>
            <w:tab/>
          </w:r>
          <w:r>
            <w:rPr>
              <w:sz w:val="21"/>
              <w:szCs w:val="21"/>
            </w:rPr>
            <w:fldChar w:fldCharType="begin"/>
          </w:r>
          <w:r>
            <w:rPr>
              <w:sz w:val="21"/>
              <w:szCs w:val="21"/>
            </w:rPr>
            <w:instrText xml:space="preserve"> PAGEREF _Toc10720 \h </w:instrText>
          </w:r>
          <w:r>
            <w:rPr>
              <w:sz w:val="21"/>
              <w:szCs w:val="21"/>
            </w:rPr>
            <w:fldChar w:fldCharType="separate"/>
          </w:r>
          <w:r>
            <w:rPr>
              <w:sz w:val="21"/>
              <w:szCs w:val="21"/>
            </w:rPr>
            <w:t>1</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_Toc16540 </w:instrText>
          </w:r>
          <w:r>
            <w:rPr>
              <w:sz w:val="21"/>
              <w:szCs w:val="21"/>
            </w:rPr>
            <w:fldChar w:fldCharType="separate"/>
          </w:r>
          <w:r>
            <w:rPr>
              <w:rFonts w:hint="default" w:ascii="Times New Roman" w:hAnsi="Times New Roman" w:eastAsia="宋体" w:cs="Times New Roman"/>
              <w:bCs/>
              <w:sz w:val="21"/>
              <w:szCs w:val="21"/>
              <w:highlight w:val="none"/>
            </w:rPr>
            <w:t>1.2</w:t>
          </w:r>
          <w:r>
            <w:rPr>
              <w:rFonts w:hint="eastAsia" w:ascii="Times New Roman" w:hAnsi="Times New Roman" w:eastAsia="宋体" w:cs="Times New Roman"/>
              <w:bCs/>
              <w:sz w:val="21"/>
              <w:szCs w:val="21"/>
              <w:highlight w:val="none"/>
              <w:lang w:val="en-US" w:eastAsia="zh-CN"/>
            </w:rPr>
            <w:t>分析</w:t>
          </w:r>
          <w:r>
            <w:rPr>
              <w:rFonts w:hint="default" w:ascii="Times New Roman" w:hAnsi="Times New Roman" w:eastAsia="宋体" w:cs="Times New Roman"/>
              <w:bCs/>
              <w:sz w:val="21"/>
              <w:szCs w:val="21"/>
              <w:highlight w:val="none"/>
            </w:rPr>
            <w:t>原则及依据</w:t>
          </w:r>
          <w:r>
            <w:rPr>
              <w:sz w:val="21"/>
              <w:szCs w:val="21"/>
            </w:rPr>
            <w:tab/>
          </w:r>
          <w:r>
            <w:rPr>
              <w:sz w:val="21"/>
              <w:szCs w:val="21"/>
            </w:rPr>
            <w:fldChar w:fldCharType="begin"/>
          </w:r>
          <w:r>
            <w:rPr>
              <w:sz w:val="21"/>
              <w:szCs w:val="21"/>
            </w:rPr>
            <w:instrText xml:space="preserve"> PAGEREF _Toc16540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_Toc13450 </w:instrText>
          </w:r>
          <w:r>
            <w:rPr>
              <w:sz w:val="21"/>
              <w:szCs w:val="21"/>
            </w:rPr>
            <w:fldChar w:fldCharType="separate"/>
          </w:r>
          <w:r>
            <w:rPr>
              <w:rFonts w:hint="default" w:ascii="Times New Roman" w:hAnsi="Times New Roman" w:eastAsia="宋体" w:cs="Times New Roman"/>
              <w:bCs/>
              <w:sz w:val="21"/>
              <w:szCs w:val="21"/>
              <w:highlight w:val="none"/>
            </w:rPr>
            <w:t>1.3</w:t>
          </w:r>
          <w:r>
            <w:rPr>
              <w:rFonts w:hint="eastAsia" w:ascii="Times New Roman" w:hAnsi="Times New Roman" w:eastAsia="宋体" w:cs="Times New Roman"/>
              <w:bCs/>
              <w:sz w:val="21"/>
              <w:szCs w:val="21"/>
              <w:highlight w:val="none"/>
              <w:lang w:val="en-US" w:eastAsia="zh-CN"/>
            </w:rPr>
            <w:t>分析</w:t>
          </w:r>
          <w:r>
            <w:rPr>
              <w:rFonts w:hint="default" w:ascii="Times New Roman" w:hAnsi="Times New Roman" w:eastAsia="宋体" w:cs="Times New Roman"/>
              <w:bCs/>
              <w:sz w:val="21"/>
              <w:szCs w:val="21"/>
              <w:highlight w:val="none"/>
            </w:rPr>
            <w:t>范围</w:t>
          </w:r>
          <w:r>
            <w:rPr>
              <w:sz w:val="21"/>
              <w:szCs w:val="21"/>
            </w:rPr>
            <w:tab/>
          </w:r>
          <w:r>
            <w:rPr>
              <w:sz w:val="21"/>
              <w:szCs w:val="21"/>
            </w:rPr>
            <w:fldChar w:fldCharType="begin"/>
          </w:r>
          <w:r>
            <w:rPr>
              <w:sz w:val="21"/>
              <w:szCs w:val="21"/>
            </w:rPr>
            <w:instrText xml:space="preserve"> PAGEREF _Toc13450 \h </w:instrText>
          </w:r>
          <w:r>
            <w:rPr>
              <w:sz w:val="21"/>
              <w:szCs w:val="21"/>
            </w:rPr>
            <w:fldChar w:fldCharType="separate"/>
          </w:r>
          <w:r>
            <w:rPr>
              <w:sz w:val="21"/>
              <w:szCs w:val="21"/>
            </w:rPr>
            <w:t>4</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_Toc20700 </w:instrText>
          </w:r>
          <w:r>
            <w:rPr>
              <w:sz w:val="21"/>
              <w:szCs w:val="21"/>
            </w:rPr>
            <w:fldChar w:fldCharType="separate"/>
          </w:r>
          <w:r>
            <w:rPr>
              <w:rFonts w:hint="default" w:ascii="Times New Roman" w:hAnsi="Times New Roman" w:eastAsia="宋体" w:cs="Times New Roman"/>
              <w:bCs/>
              <w:sz w:val="21"/>
              <w:szCs w:val="21"/>
              <w:highlight w:val="none"/>
            </w:rPr>
            <w:t>1.4</w:t>
          </w:r>
          <w:r>
            <w:rPr>
              <w:rFonts w:hint="eastAsia" w:ascii="Times New Roman" w:hAnsi="Times New Roman" w:eastAsia="宋体" w:cs="Times New Roman"/>
              <w:bCs/>
              <w:sz w:val="21"/>
              <w:szCs w:val="21"/>
              <w:highlight w:val="none"/>
              <w:lang w:val="en-US" w:eastAsia="zh-CN"/>
            </w:rPr>
            <w:t>分析论证</w:t>
          </w:r>
          <w:r>
            <w:rPr>
              <w:rFonts w:hint="default" w:ascii="Times New Roman" w:hAnsi="Times New Roman" w:eastAsia="宋体" w:cs="Times New Roman"/>
              <w:bCs/>
              <w:sz w:val="21"/>
              <w:szCs w:val="21"/>
              <w:highlight w:val="none"/>
            </w:rPr>
            <w:t>工作程序</w:t>
          </w:r>
          <w:r>
            <w:rPr>
              <w:sz w:val="21"/>
              <w:szCs w:val="21"/>
            </w:rPr>
            <w:tab/>
          </w:r>
          <w:r>
            <w:rPr>
              <w:sz w:val="21"/>
              <w:szCs w:val="21"/>
            </w:rPr>
            <w:fldChar w:fldCharType="begin"/>
          </w:r>
          <w:r>
            <w:rPr>
              <w:sz w:val="21"/>
              <w:szCs w:val="21"/>
            </w:rPr>
            <w:instrText xml:space="preserve"> PAGEREF _Toc20700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_Toc19283 </w:instrText>
          </w:r>
          <w:r>
            <w:rPr>
              <w:sz w:val="21"/>
              <w:szCs w:val="21"/>
            </w:rPr>
            <w:fldChar w:fldCharType="separate"/>
          </w:r>
          <w:r>
            <w:rPr>
              <w:rFonts w:hint="default" w:ascii="Times New Roman" w:hAnsi="Times New Roman" w:eastAsia="宋体" w:cs="Times New Roman"/>
              <w:bCs/>
              <w:sz w:val="21"/>
              <w:szCs w:val="21"/>
              <w:highlight w:val="none"/>
            </w:rPr>
            <w:t>1.5</w:t>
          </w:r>
          <w:r>
            <w:rPr>
              <w:rFonts w:hint="eastAsia" w:ascii="Times New Roman" w:hAnsi="Times New Roman" w:eastAsia="宋体" w:cs="Times New Roman"/>
              <w:bCs/>
              <w:sz w:val="21"/>
              <w:szCs w:val="21"/>
              <w:highlight w:val="none"/>
              <w:lang w:val="en-US" w:eastAsia="zh-CN"/>
            </w:rPr>
            <w:t>分析</w:t>
          </w:r>
          <w:r>
            <w:rPr>
              <w:rFonts w:hint="default" w:ascii="Times New Roman" w:hAnsi="Times New Roman" w:eastAsia="宋体" w:cs="Times New Roman"/>
              <w:bCs/>
              <w:sz w:val="21"/>
              <w:szCs w:val="21"/>
              <w:highlight w:val="none"/>
            </w:rPr>
            <w:t>论证的主要内容</w:t>
          </w:r>
          <w:r>
            <w:rPr>
              <w:sz w:val="21"/>
              <w:szCs w:val="21"/>
            </w:rPr>
            <w:tab/>
          </w:r>
          <w:r>
            <w:rPr>
              <w:sz w:val="21"/>
              <w:szCs w:val="21"/>
            </w:rPr>
            <w:fldChar w:fldCharType="begin"/>
          </w:r>
          <w:r>
            <w:rPr>
              <w:sz w:val="21"/>
              <w:szCs w:val="21"/>
            </w:rPr>
            <w:instrText xml:space="preserve"> PAGEREF _Toc19283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11"/>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_Toc28316 </w:instrText>
          </w:r>
          <w:r>
            <w:rPr>
              <w:sz w:val="21"/>
              <w:szCs w:val="21"/>
            </w:rPr>
            <w:fldChar w:fldCharType="separate"/>
          </w:r>
          <w:r>
            <w:rPr>
              <w:rFonts w:hint="default" w:ascii="Times New Roman" w:hAnsi="Times New Roman" w:eastAsia="宋体" w:cs="宋体"/>
              <w:sz w:val="21"/>
              <w:szCs w:val="21"/>
            </w:rPr>
            <w:t xml:space="preserve">2 </w:t>
          </w:r>
          <w:r>
            <w:rPr>
              <w:rFonts w:hint="default"/>
              <w:sz w:val="21"/>
              <w:szCs w:val="21"/>
            </w:rPr>
            <w:t>项目概况</w:t>
          </w:r>
          <w:r>
            <w:rPr>
              <w:sz w:val="21"/>
              <w:szCs w:val="21"/>
            </w:rPr>
            <w:tab/>
          </w:r>
          <w:r>
            <w:rPr>
              <w:sz w:val="21"/>
              <w:szCs w:val="21"/>
            </w:rPr>
            <w:fldChar w:fldCharType="begin"/>
          </w:r>
          <w:r>
            <w:rPr>
              <w:sz w:val="21"/>
              <w:szCs w:val="21"/>
            </w:rPr>
            <w:instrText xml:space="preserve"> PAGEREF _Toc28316 \h </w:instrText>
          </w:r>
          <w:r>
            <w:rPr>
              <w:sz w:val="21"/>
              <w:szCs w:val="21"/>
            </w:rPr>
            <w:fldChar w:fldCharType="separate"/>
          </w:r>
          <w:r>
            <w:rPr>
              <w:sz w:val="21"/>
              <w:szCs w:val="21"/>
            </w:rPr>
            <w:t>6</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_Toc2536 </w:instrText>
          </w:r>
          <w:r>
            <w:rPr>
              <w:sz w:val="21"/>
              <w:szCs w:val="21"/>
            </w:rPr>
            <w:fldChar w:fldCharType="separate"/>
          </w:r>
          <w:r>
            <w:rPr>
              <w:rFonts w:hint="default" w:ascii="Times New Roman" w:hAnsi="Times New Roman" w:eastAsia="宋体" w:cs="宋体"/>
              <w:sz w:val="21"/>
              <w:szCs w:val="21"/>
            </w:rPr>
            <w:t xml:space="preserve">2.1 </w:t>
          </w:r>
          <w:r>
            <w:rPr>
              <w:rFonts w:hint="eastAsia"/>
              <w:sz w:val="21"/>
              <w:szCs w:val="21"/>
              <w:lang w:eastAsia="zh-CN"/>
            </w:rPr>
            <w:t>项目</w:t>
          </w:r>
          <w:r>
            <w:rPr>
              <w:rFonts w:hint="eastAsia"/>
              <w:sz w:val="21"/>
              <w:szCs w:val="21"/>
              <w:lang w:val="en-US" w:eastAsia="zh-CN"/>
            </w:rPr>
            <w:t>基本情况</w:t>
          </w:r>
          <w:r>
            <w:rPr>
              <w:sz w:val="21"/>
              <w:szCs w:val="21"/>
            </w:rPr>
            <w:tab/>
          </w:r>
          <w:r>
            <w:rPr>
              <w:sz w:val="21"/>
              <w:szCs w:val="21"/>
            </w:rPr>
            <w:fldChar w:fldCharType="begin"/>
          </w:r>
          <w:r>
            <w:rPr>
              <w:sz w:val="21"/>
              <w:szCs w:val="21"/>
            </w:rPr>
            <w:instrText xml:space="preserve"> PAGEREF _Toc2536 \h </w:instrText>
          </w:r>
          <w:r>
            <w:rPr>
              <w:sz w:val="21"/>
              <w:szCs w:val="21"/>
            </w:rPr>
            <w:fldChar w:fldCharType="separate"/>
          </w:r>
          <w:r>
            <w:rPr>
              <w:sz w:val="21"/>
              <w:szCs w:val="21"/>
            </w:rPr>
            <w:t>6</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_Toc12541 </w:instrText>
          </w:r>
          <w:r>
            <w:rPr>
              <w:sz w:val="21"/>
              <w:szCs w:val="21"/>
            </w:rPr>
            <w:fldChar w:fldCharType="separate"/>
          </w:r>
          <w:r>
            <w:rPr>
              <w:rFonts w:hint="default" w:ascii="Times New Roman" w:hAnsi="Times New Roman" w:eastAsia="宋体" w:cs="宋体"/>
              <w:sz w:val="21"/>
              <w:szCs w:val="21"/>
              <w:lang w:val="en-US" w:eastAsia="zh-CN"/>
            </w:rPr>
            <w:t xml:space="preserve">2.2 </w:t>
          </w:r>
          <w:r>
            <w:rPr>
              <w:rFonts w:hint="eastAsia"/>
              <w:sz w:val="21"/>
              <w:szCs w:val="21"/>
              <w:lang w:val="en-US" w:eastAsia="zh-CN"/>
            </w:rPr>
            <w:t>项目及排污口基本情况</w:t>
          </w:r>
          <w:r>
            <w:rPr>
              <w:sz w:val="21"/>
              <w:szCs w:val="21"/>
            </w:rPr>
            <w:tab/>
          </w:r>
          <w:r>
            <w:rPr>
              <w:sz w:val="21"/>
              <w:szCs w:val="21"/>
            </w:rPr>
            <w:fldChar w:fldCharType="begin"/>
          </w:r>
          <w:r>
            <w:rPr>
              <w:sz w:val="21"/>
              <w:szCs w:val="21"/>
            </w:rPr>
            <w:instrText xml:space="preserve"> PAGEREF _Toc12541 \h </w:instrText>
          </w:r>
          <w:r>
            <w:rPr>
              <w:sz w:val="21"/>
              <w:szCs w:val="21"/>
            </w:rPr>
            <w:fldChar w:fldCharType="separate"/>
          </w:r>
          <w:r>
            <w:rPr>
              <w:sz w:val="21"/>
              <w:szCs w:val="21"/>
            </w:rPr>
            <w:t>8</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_Toc30592 </w:instrText>
          </w:r>
          <w:r>
            <w:rPr>
              <w:sz w:val="21"/>
              <w:szCs w:val="21"/>
            </w:rPr>
            <w:fldChar w:fldCharType="separate"/>
          </w:r>
          <w:r>
            <w:rPr>
              <w:rFonts w:hint="default" w:ascii="Times New Roman" w:hAnsi="Times New Roman" w:eastAsia="宋体" w:cs="宋体"/>
              <w:spacing w:val="7"/>
              <w:kern w:val="2"/>
              <w:sz w:val="21"/>
              <w:szCs w:val="21"/>
              <w:lang w:val="en-US" w:eastAsia="zh-CN" w:bidi="ar-SA"/>
            </w:rPr>
            <w:t xml:space="preserve">2.3 </w:t>
          </w:r>
          <w:r>
            <w:rPr>
              <w:rFonts w:hint="eastAsia"/>
              <w:sz w:val="21"/>
              <w:szCs w:val="21"/>
              <w:lang w:eastAsia="zh-CN"/>
            </w:rPr>
            <w:t>项目</w:t>
          </w:r>
          <w:r>
            <w:rPr>
              <w:rFonts w:hint="eastAsia"/>
              <w:sz w:val="21"/>
              <w:szCs w:val="21"/>
              <w:lang w:val="en-US" w:eastAsia="zh-CN"/>
            </w:rPr>
            <w:t>产排污情况</w:t>
          </w:r>
          <w:r>
            <w:rPr>
              <w:sz w:val="21"/>
              <w:szCs w:val="21"/>
            </w:rPr>
            <w:tab/>
          </w:r>
          <w:r>
            <w:rPr>
              <w:sz w:val="21"/>
              <w:szCs w:val="21"/>
            </w:rPr>
            <w:fldChar w:fldCharType="begin"/>
          </w:r>
          <w:r>
            <w:rPr>
              <w:sz w:val="21"/>
              <w:szCs w:val="21"/>
            </w:rPr>
            <w:instrText xml:space="preserve"> PAGEREF _Toc30592 \h </w:instrText>
          </w:r>
          <w:r>
            <w:rPr>
              <w:sz w:val="21"/>
              <w:szCs w:val="21"/>
            </w:rPr>
            <w:fldChar w:fldCharType="separate"/>
          </w:r>
          <w:r>
            <w:rPr>
              <w:sz w:val="21"/>
              <w:szCs w:val="21"/>
            </w:rPr>
            <w:t>9</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_Toc15521 </w:instrText>
          </w:r>
          <w:r>
            <w:rPr>
              <w:sz w:val="21"/>
              <w:szCs w:val="21"/>
            </w:rPr>
            <w:fldChar w:fldCharType="separate"/>
          </w:r>
          <w:r>
            <w:rPr>
              <w:rFonts w:hint="default" w:ascii="Times New Roman" w:hAnsi="Times New Roman" w:eastAsia="宋体" w:cs="宋体"/>
              <w:sz w:val="21"/>
              <w:szCs w:val="21"/>
              <w:lang w:eastAsia="zh-CN"/>
            </w:rPr>
            <w:t xml:space="preserve">2.4 </w:t>
          </w:r>
          <w:r>
            <w:rPr>
              <w:rFonts w:hint="default"/>
              <w:sz w:val="21"/>
              <w:szCs w:val="21"/>
              <w:lang w:eastAsia="zh-CN"/>
            </w:rPr>
            <w:t>污染物排放量</w:t>
          </w:r>
          <w:r>
            <w:rPr>
              <w:sz w:val="21"/>
              <w:szCs w:val="21"/>
            </w:rPr>
            <w:tab/>
          </w:r>
          <w:r>
            <w:rPr>
              <w:sz w:val="21"/>
              <w:szCs w:val="21"/>
            </w:rPr>
            <w:fldChar w:fldCharType="begin"/>
          </w:r>
          <w:r>
            <w:rPr>
              <w:sz w:val="21"/>
              <w:szCs w:val="21"/>
            </w:rPr>
            <w:instrText xml:space="preserve"> PAGEREF _Toc15521 \h </w:instrText>
          </w:r>
          <w:r>
            <w:rPr>
              <w:sz w:val="21"/>
              <w:szCs w:val="21"/>
            </w:rPr>
            <w:fldChar w:fldCharType="separate"/>
          </w:r>
          <w:r>
            <w:rPr>
              <w:sz w:val="21"/>
              <w:szCs w:val="21"/>
            </w:rPr>
            <w:t>11</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_Toc32625 </w:instrText>
          </w:r>
          <w:r>
            <w:rPr>
              <w:sz w:val="21"/>
              <w:szCs w:val="21"/>
            </w:rPr>
            <w:fldChar w:fldCharType="separate"/>
          </w:r>
          <w:r>
            <w:rPr>
              <w:rFonts w:hint="default" w:ascii="Times New Roman" w:hAnsi="Times New Roman" w:eastAsia="宋体" w:cs="宋体"/>
              <w:sz w:val="21"/>
              <w:szCs w:val="21"/>
              <w:lang w:eastAsia="zh-CN"/>
            </w:rPr>
            <w:t xml:space="preserve">2.5 </w:t>
          </w:r>
          <w:r>
            <w:rPr>
              <w:rFonts w:hint="default"/>
              <w:sz w:val="21"/>
              <w:szCs w:val="21"/>
              <w:lang w:eastAsia="zh-CN"/>
            </w:rPr>
            <w:t>论证范围主要排污口及现状情况</w:t>
          </w:r>
          <w:r>
            <w:rPr>
              <w:sz w:val="21"/>
              <w:szCs w:val="21"/>
            </w:rPr>
            <w:tab/>
          </w:r>
          <w:r>
            <w:rPr>
              <w:sz w:val="21"/>
              <w:szCs w:val="21"/>
            </w:rPr>
            <w:fldChar w:fldCharType="begin"/>
          </w:r>
          <w:r>
            <w:rPr>
              <w:sz w:val="21"/>
              <w:szCs w:val="21"/>
            </w:rPr>
            <w:instrText xml:space="preserve"> PAGEREF _Toc32625 \h </w:instrText>
          </w:r>
          <w:r>
            <w:rPr>
              <w:sz w:val="21"/>
              <w:szCs w:val="21"/>
            </w:rPr>
            <w:fldChar w:fldCharType="separate"/>
          </w:r>
          <w:r>
            <w:rPr>
              <w:sz w:val="21"/>
              <w:szCs w:val="21"/>
            </w:rPr>
            <w:t>12</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_Toc11221 </w:instrText>
          </w:r>
          <w:r>
            <w:rPr>
              <w:sz w:val="21"/>
              <w:szCs w:val="21"/>
            </w:rPr>
            <w:fldChar w:fldCharType="separate"/>
          </w:r>
          <w:r>
            <w:rPr>
              <w:rFonts w:hint="default" w:ascii="Times New Roman" w:hAnsi="Times New Roman" w:eastAsia="宋体" w:cs="宋体"/>
              <w:sz w:val="21"/>
              <w:szCs w:val="21"/>
              <w:lang w:eastAsia="zh-CN"/>
            </w:rPr>
            <w:t xml:space="preserve">2.6 </w:t>
          </w:r>
          <w:r>
            <w:rPr>
              <w:rFonts w:hint="default"/>
              <w:sz w:val="21"/>
              <w:szCs w:val="21"/>
              <w:lang w:eastAsia="zh-CN"/>
            </w:rPr>
            <w:t>项目所在区域概况</w:t>
          </w:r>
          <w:r>
            <w:rPr>
              <w:sz w:val="21"/>
              <w:szCs w:val="21"/>
            </w:rPr>
            <w:tab/>
          </w:r>
          <w:r>
            <w:rPr>
              <w:sz w:val="21"/>
              <w:szCs w:val="21"/>
            </w:rPr>
            <w:fldChar w:fldCharType="begin"/>
          </w:r>
          <w:r>
            <w:rPr>
              <w:sz w:val="21"/>
              <w:szCs w:val="21"/>
            </w:rPr>
            <w:instrText xml:space="preserve"> PAGEREF _Toc11221 \h </w:instrText>
          </w:r>
          <w:r>
            <w:rPr>
              <w:sz w:val="21"/>
              <w:szCs w:val="21"/>
            </w:rPr>
            <w:fldChar w:fldCharType="separate"/>
          </w:r>
          <w:r>
            <w:rPr>
              <w:sz w:val="21"/>
              <w:szCs w:val="21"/>
            </w:rPr>
            <w:t>13</w:t>
          </w:r>
          <w:r>
            <w:rPr>
              <w:sz w:val="21"/>
              <w:szCs w:val="21"/>
            </w:rPr>
            <w:fldChar w:fldCharType="end"/>
          </w:r>
          <w:r>
            <w:rPr>
              <w:sz w:val="21"/>
              <w:szCs w:val="21"/>
            </w:rPr>
            <w:fldChar w:fldCharType="end"/>
          </w:r>
        </w:p>
        <w:p>
          <w:pPr>
            <w:pStyle w:val="11"/>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_Toc1502 </w:instrText>
          </w:r>
          <w:r>
            <w:rPr>
              <w:sz w:val="21"/>
              <w:szCs w:val="21"/>
            </w:rPr>
            <w:fldChar w:fldCharType="separate"/>
          </w:r>
          <w:r>
            <w:rPr>
              <w:rFonts w:hint="default" w:ascii="Times New Roman" w:hAnsi="Times New Roman" w:eastAsia="宋体" w:cs="宋体"/>
              <w:sz w:val="21"/>
              <w:szCs w:val="21"/>
            </w:rPr>
            <w:t xml:space="preserve">3 </w:t>
          </w:r>
          <w:r>
            <w:rPr>
              <w:rFonts w:hint="default"/>
              <w:sz w:val="21"/>
              <w:szCs w:val="21"/>
            </w:rPr>
            <w:t>项目</w:t>
          </w:r>
          <w:r>
            <w:rPr>
              <w:rFonts w:hint="eastAsia"/>
              <w:sz w:val="21"/>
              <w:szCs w:val="21"/>
              <w:lang w:val="en-US" w:eastAsia="zh-CN"/>
            </w:rPr>
            <w:t>排污口设置</w:t>
          </w:r>
          <w:r>
            <w:rPr>
              <w:sz w:val="21"/>
              <w:szCs w:val="21"/>
            </w:rPr>
            <w:tab/>
          </w:r>
          <w:r>
            <w:rPr>
              <w:sz w:val="21"/>
              <w:szCs w:val="21"/>
            </w:rPr>
            <w:fldChar w:fldCharType="begin"/>
          </w:r>
          <w:r>
            <w:rPr>
              <w:sz w:val="21"/>
              <w:szCs w:val="21"/>
            </w:rPr>
            <w:instrText xml:space="preserve"> PAGEREF _Toc1502 \h </w:instrText>
          </w:r>
          <w:r>
            <w:rPr>
              <w:sz w:val="21"/>
              <w:szCs w:val="21"/>
            </w:rPr>
            <w:fldChar w:fldCharType="separate"/>
          </w:r>
          <w:r>
            <w:rPr>
              <w:sz w:val="21"/>
              <w:szCs w:val="21"/>
            </w:rPr>
            <w:t>15</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_Toc24852 </w:instrText>
          </w:r>
          <w:r>
            <w:rPr>
              <w:sz w:val="21"/>
              <w:szCs w:val="21"/>
            </w:rPr>
            <w:fldChar w:fldCharType="separate"/>
          </w:r>
          <w:r>
            <w:rPr>
              <w:rFonts w:hint="default" w:ascii="Times New Roman" w:hAnsi="Times New Roman" w:eastAsia="宋体" w:cs="宋体"/>
              <w:sz w:val="21"/>
              <w:szCs w:val="21"/>
            </w:rPr>
            <w:t xml:space="preserve">3.1 </w:t>
          </w:r>
          <w:r>
            <w:rPr>
              <w:rFonts w:hint="eastAsia"/>
              <w:sz w:val="21"/>
              <w:szCs w:val="21"/>
              <w:lang w:eastAsia="zh-CN"/>
            </w:rPr>
            <w:t>项目</w:t>
          </w:r>
          <w:r>
            <w:rPr>
              <w:rFonts w:hint="eastAsia"/>
              <w:sz w:val="21"/>
              <w:szCs w:val="21"/>
              <w:lang w:val="en-US" w:eastAsia="zh-CN"/>
            </w:rPr>
            <w:t>排污口位置</w:t>
          </w:r>
          <w:r>
            <w:rPr>
              <w:sz w:val="21"/>
              <w:szCs w:val="21"/>
            </w:rPr>
            <w:tab/>
          </w:r>
          <w:r>
            <w:rPr>
              <w:sz w:val="21"/>
              <w:szCs w:val="21"/>
            </w:rPr>
            <w:fldChar w:fldCharType="begin"/>
          </w:r>
          <w:r>
            <w:rPr>
              <w:sz w:val="21"/>
              <w:szCs w:val="21"/>
            </w:rPr>
            <w:instrText xml:space="preserve"> PAGEREF _Toc24852 \h </w:instrText>
          </w:r>
          <w:r>
            <w:rPr>
              <w:sz w:val="21"/>
              <w:szCs w:val="21"/>
            </w:rPr>
            <w:fldChar w:fldCharType="separate"/>
          </w:r>
          <w:r>
            <w:rPr>
              <w:sz w:val="21"/>
              <w:szCs w:val="21"/>
            </w:rPr>
            <w:t>15</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_Toc16048 </w:instrText>
          </w:r>
          <w:r>
            <w:rPr>
              <w:sz w:val="21"/>
              <w:szCs w:val="21"/>
            </w:rPr>
            <w:fldChar w:fldCharType="separate"/>
          </w:r>
          <w:r>
            <w:rPr>
              <w:rFonts w:hint="default" w:ascii="Times New Roman" w:hAnsi="Times New Roman" w:eastAsia="宋体" w:cs="宋体"/>
              <w:sz w:val="21"/>
              <w:szCs w:val="21"/>
              <w:lang w:eastAsia="zh-CN"/>
            </w:rPr>
            <w:t xml:space="preserve">3.2 </w:t>
          </w:r>
          <w:r>
            <w:rPr>
              <w:rFonts w:hint="eastAsia"/>
              <w:sz w:val="21"/>
              <w:szCs w:val="21"/>
              <w:lang w:val="en-US" w:eastAsia="zh-CN"/>
            </w:rPr>
            <w:t>排污口</w:t>
          </w:r>
          <w:r>
            <w:rPr>
              <w:rFonts w:hint="default"/>
              <w:sz w:val="21"/>
              <w:szCs w:val="21"/>
              <w:lang w:eastAsia="zh-CN"/>
            </w:rPr>
            <w:t>性质</w:t>
          </w:r>
          <w:r>
            <w:rPr>
              <w:sz w:val="21"/>
              <w:szCs w:val="21"/>
            </w:rPr>
            <w:tab/>
          </w:r>
          <w:r>
            <w:rPr>
              <w:sz w:val="21"/>
              <w:szCs w:val="21"/>
            </w:rPr>
            <w:fldChar w:fldCharType="begin"/>
          </w:r>
          <w:r>
            <w:rPr>
              <w:sz w:val="21"/>
              <w:szCs w:val="21"/>
            </w:rPr>
            <w:instrText xml:space="preserve"> PAGEREF _Toc16048 \h </w:instrText>
          </w:r>
          <w:r>
            <w:rPr>
              <w:sz w:val="21"/>
              <w:szCs w:val="21"/>
            </w:rPr>
            <w:fldChar w:fldCharType="separate"/>
          </w:r>
          <w:r>
            <w:rPr>
              <w:sz w:val="21"/>
              <w:szCs w:val="21"/>
            </w:rPr>
            <w:t>16</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_Toc5781 </w:instrText>
          </w:r>
          <w:r>
            <w:rPr>
              <w:sz w:val="21"/>
              <w:szCs w:val="21"/>
            </w:rPr>
            <w:fldChar w:fldCharType="separate"/>
          </w:r>
          <w:r>
            <w:rPr>
              <w:rFonts w:hint="default" w:ascii="Times New Roman" w:hAnsi="Times New Roman" w:eastAsia="宋体" w:cs="宋体"/>
              <w:sz w:val="21"/>
              <w:szCs w:val="21"/>
              <w:lang w:val="en-US" w:eastAsia="zh-CN"/>
            </w:rPr>
            <w:t xml:space="preserve">3.3 </w:t>
          </w:r>
          <w:r>
            <w:rPr>
              <w:rFonts w:hint="default"/>
              <w:sz w:val="21"/>
              <w:szCs w:val="21"/>
              <w:lang w:val="en-US" w:eastAsia="zh-CN"/>
            </w:rPr>
            <w:t>排污口分类</w:t>
          </w:r>
          <w:r>
            <w:rPr>
              <w:sz w:val="21"/>
              <w:szCs w:val="21"/>
            </w:rPr>
            <w:tab/>
          </w:r>
          <w:r>
            <w:rPr>
              <w:sz w:val="21"/>
              <w:szCs w:val="21"/>
            </w:rPr>
            <w:fldChar w:fldCharType="begin"/>
          </w:r>
          <w:r>
            <w:rPr>
              <w:sz w:val="21"/>
              <w:szCs w:val="21"/>
            </w:rPr>
            <w:instrText xml:space="preserve"> PAGEREF _Toc5781 \h </w:instrText>
          </w:r>
          <w:r>
            <w:rPr>
              <w:sz w:val="21"/>
              <w:szCs w:val="21"/>
            </w:rPr>
            <w:fldChar w:fldCharType="separate"/>
          </w:r>
          <w:r>
            <w:rPr>
              <w:sz w:val="21"/>
              <w:szCs w:val="21"/>
            </w:rPr>
            <w:t>16</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_Toc16746 </w:instrText>
          </w:r>
          <w:r>
            <w:rPr>
              <w:sz w:val="21"/>
              <w:szCs w:val="21"/>
            </w:rPr>
            <w:fldChar w:fldCharType="separate"/>
          </w:r>
          <w:r>
            <w:rPr>
              <w:rFonts w:hint="default" w:ascii="Times New Roman" w:hAnsi="Times New Roman" w:eastAsia="宋体" w:cs="宋体"/>
              <w:sz w:val="21"/>
              <w:szCs w:val="21"/>
              <w:lang w:val="en-US" w:eastAsia="zh-CN"/>
            </w:rPr>
            <w:t xml:space="preserve">3.4 </w:t>
          </w:r>
          <w:r>
            <w:rPr>
              <w:rFonts w:hint="eastAsia" w:ascii="Times New Roman" w:hAnsi="Times New Roman" w:eastAsia="宋体" w:cs="宋体"/>
              <w:sz w:val="21"/>
              <w:szCs w:val="21"/>
              <w:lang w:val="en-US" w:eastAsia="zh-CN"/>
            </w:rPr>
            <w:t>排污口</w:t>
          </w:r>
          <w:r>
            <w:rPr>
              <w:rFonts w:hint="default"/>
              <w:sz w:val="21"/>
              <w:szCs w:val="21"/>
              <w:lang w:val="en-US" w:eastAsia="zh-CN"/>
            </w:rPr>
            <w:t>入河方式</w:t>
          </w:r>
          <w:r>
            <w:rPr>
              <w:sz w:val="21"/>
              <w:szCs w:val="21"/>
            </w:rPr>
            <w:tab/>
          </w:r>
          <w:r>
            <w:rPr>
              <w:sz w:val="21"/>
              <w:szCs w:val="21"/>
            </w:rPr>
            <w:fldChar w:fldCharType="begin"/>
          </w:r>
          <w:r>
            <w:rPr>
              <w:sz w:val="21"/>
              <w:szCs w:val="21"/>
            </w:rPr>
            <w:instrText xml:space="preserve"> PAGEREF _Toc16746 \h </w:instrText>
          </w:r>
          <w:r>
            <w:rPr>
              <w:sz w:val="21"/>
              <w:szCs w:val="21"/>
            </w:rPr>
            <w:fldChar w:fldCharType="separate"/>
          </w:r>
          <w:r>
            <w:rPr>
              <w:sz w:val="21"/>
              <w:szCs w:val="21"/>
            </w:rPr>
            <w:t>16</w:t>
          </w:r>
          <w:r>
            <w:rPr>
              <w:sz w:val="21"/>
              <w:szCs w:val="21"/>
            </w:rPr>
            <w:fldChar w:fldCharType="end"/>
          </w:r>
          <w:r>
            <w:rPr>
              <w:sz w:val="21"/>
              <w:szCs w:val="21"/>
            </w:rPr>
            <w:fldChar w:fldCharType="end"/>
          </w:r>
        </w:p>
        <w:p>
          <w:pPr>
            <w:pStyle w:val="11"/>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_Toc23376 </w:instrText>
          </w:r>
          <w:r>
            <w:rPr>
              <w:sz w:val="21"/>
              <w:szCs w:val="21"/>
            </w:rPr>
            <w:fldChar w:fldCharType="separate"/>
          </w:r>
          <w:r>
            <w:rPr>
              <w:rFonts w:hint="default" w:ascii="Times New Roman" w:hAnsi="Times New Roman" w:eastAsia="宋体" w:cs="宋体"/>
              <w:sz w:val="21"/>
              <w:szCs w:val="21"/>
            </w:rPr>
            <w:t xml:space="preserve">4 </w:t>
          </w:r>
          <w:r>
            <w:rPr>
              <w:rFonts w:hint="default"/>
              <w:sz w:val="21"/>
              <w:szCs w:val="21"/>
            </w:rPr>
            <w:t>入河排污口设置</w:t>
          </w:r>
          <w:r>
            <w:rPr>
              <w:rFonts w:hint="eastAsia"/>
              <w:sz w:val="21"/>
              <w:szCs w:val="21"/>
              <w:lang w:eastAsia="zh-CN"/>
            </w:rPr>
            <w:t>对水功能区水质和水生态影响分析</w:t>
          </w:r>
          <w:r>
            <w:rPr>
              <w:sz w:val="21"/>
              <w:szCs w:val="21"/>
            </w:rPr>
            <w:tab/>
          </w:r>
          <w:r>
            <w:rPr>
              <w:sz w:val="21"/>
              <w:szCs w:val="21"/>
            </w:rPr>
            <w:fldChar w:fldCharType="begin"/>
          </w:r>
          <w:r>
            <w:rPr>
              <w:sz w:val="21"/>
              <w:szCs w:val="21"/>
            </w:rPr>
            <w:instrText xml:space="preserve"> PAGEREF _Toc23376 \h </w:instrText>
          </w:r>
          <w:r>
            <w:rPr>
              <w:sz w:val="21"/>
              <w:szCs w:val="21"/>
            </w:rPr>
            <w:fldChar w:fldCharType="separate"/>
          </w:r>
          <w:r>
            <w:rPr>
              <w:sz w:val="21"/>
              <w:szCs w:val="21"/>
            </w:rPr>
            <w:t>17</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_Toc26783 </w:instrText>
          </w:r>
          <w:r>
            <w:rPr>
              <w:sz w:val="21"/>
              <w:szCs w:val="21"/>
            </w:rPr>
            <w:fldChar w:fldCharType="separate"/>
          </w:r>
          <w:r>
            <w:rPr>
              <w:rFonts w:hint="default" w:ascii="Times New Roman" w:hAnsi="Times New Roman" w:eastAsia="宋体" w:cs="宋体"/>
              <w:sz w:val="21"/>
              <w:szCs w:val="21"/>
              <w:lang w:eastAsia="zh-CN"/>
            </w:rPr>
            <w:t xml:space="preserve">4.1 </w:t>
          </w:r>
          <w:r>
            <w:rPr>
              <w:rFonts w:hint="default"/>
              <w:sz w:val="21"/>
              <w:szCs w:val="21"/>
              <w:lang w:eastAsia="zh-CN"/>
            </w:rPr>
            <w:t>水功能区（水域）保护水质管理目标与要求</w:t>
          </w:r>
          <w:r>
            <w:rPr>
              <w:sz w:val="21"/>
              <w:szCs w:val="21"/>
            </w:rPr>
            <w:tab/>
          </w:r>
          <w:r>
            <w:rPr>
              <w:sz w:val="21"/>
              <w:szCs w:val="21"/>
            </w:rPr>
            <w:fldChar w:fldCharType="begin"/>
          </w:r>
          <w:r>
            <w:rPr>
              <w:sz w:val="21"/>
              <w:szCs w:val="21"/>
            </w:rPr>
            <w:instrText xml:space="preserve"> PAGEREF _Toc26783 \h </w:instrText>
          </w:r>
          <w:r>
            <w:rPr>
              <w:sz w:val="21"/>
              <w:szCs w:val="21"/>
            </w:rPr>
            <w:fldChar w:fldCharType="separate"/>
          </w:r>
          <w:r>
            <w:rPr>
              <w:sz w:val="21"/>
              <w:szCs w:val="21"/>
            </w:rPr>
            <w:t>17</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_Toc28957 </w:instrText>
          </w:r>
          <w:r>
            <w:rPr>
              <w:sz w:val="21"/>
              <w:szCs w:val="21"/>
            </w:rPr>
            <w:fldChar w:fldCharType="separate"/>
          </w:r>
          <w:r>
            <w:rPr>
              <w:rFonts w:hint="default" w:ascii="Times New Roman" w:hAnsi="Times New Roman" w:eastAsia="宋体" w:cs="宋体"/>
              <w:bCs w:val="0"/>
              <w:sz w:val="21"/>
              <w:szCs w:val="21"/>
            </w:rPr>
            <w:t xml:space="preserve">4.2 </w:t>
          </w:r>
          <w:r>
            <w:rPr>
              <w:rFonts w:hint="eastAsia" w:ascii="Times New Roman" w:hAnsi="Times New Roman" w:eastAsia="宋体" w:cs="Times New Roman"/>
              <w:sz w:val="21"/>
              <w:szCs w:val="21"/>
              <w:highlight w:val="none"/>
              <w:lang w:val="en-US" w:eastAsia="zh-CN"/>
            </w:rPr>
            <w:t>分析</w:t>
          </w:r>
          <w:r>
            <w:rPr>
              <w:rFonts w:hint="default" w:ascii="Times New Roman" w:hAnsi="Times New Roman" w:eastAsia="宋体" w:cs="Times New Roman"/>
              <w:sz w:val="21"/>
              <w:szCs w:val="21"/>
              <w:highlight w:val="none"/>
            </w:rPr>
            <w:t>水功能区（水域）现有取排水状况</w:t>
          </w:r>
          <w:r>
            <w:rPr>
              <w:sz w:val="21"/>
              <w:szCs w:val="21"/>
            </w:rPr>
            <w:tab/>
          </w:r>
          <w:r>
            <w:rPr>
              <w:sz w:val="21"/>
              <w:szCs w:val="21"/>
            </w:rPr>
            <w:fldChar w:fldCharType="begin"/>
          </w:r>
          <w:r>
            <w:rPr>
              <w:sz w:val="21"/>
              <w:szCs w:val="21"/>
            </w:rPr>
            <w:instrText xml:space="preserve"> PAGEREF _Toc28957 \h </w:instrText>
          </w:r>
          <w:r>
            <w:rPr>
              <w:sz w:val="21"/>
              <w:szCs w:val="21"/>
            </w:rPr>
            <w:fldChar w:fldCharType="separate"/>
          </w:r>
          <w:r>
            <w:rPr>
              <w:sz w:val="21"/>
              <w:szCs w:val="21"/>
            </w:rPr>
            <w:t>20</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_Toc16913 </w:instrText>
          </w:r>
          <w:r>
            <w:rPr>
              <w:sz w:val="21"/>
              <w:szCs w:val="21"/>
            </w:rPr>
            <w:fldChar w:fldCharType="separate"/>
          </w:r>
          <w:r>
            <w:rPr>
              <w:rFonts w:hint="default" w:ascii="Times New Roman" w:hAnsi="Times New Roman" w:eastAsia="宋体" w:cs="宋体"/>
              <w:sz w:val="21"/>
              <w:szCs w:val="21"/>
            </w:rPr>
            <w:t xml:space="preserve">4.3 </w:t>
          </w:r>
          <w:r>
            <w:rPr>
              <w:rFonts w:hint="eastAsia"/>
              <w:sz w:val="21"/>
              <w:szCs w:val="21"/>
              <w:lang w:eastAsia="zh-CN"/>
            </w:rPr>
            <w:t>对水功能区水质影响分析</w:t>
          </w:r>
          <w:r>
            <w:rPr>
              <w:sz w:val="21"/>
              <w:szCs w:val="21"/>
            </w:rPr>
            <w:tab/>
          </w:r>
          <w:r>
            <w:rPr>
              <w:sz w:val="21"/>
              <w:szCs w:val="21"/>
            </w:rPr>
            <w:fldChar w:fldCharType="begin"/>
          </w:r>
          <w:r>
            <w:rPr>
              <w:sz w:val="21"/>
              <w:szCs w:val="21"/>
            </w:rPr>
            <w:instrText xml:space="preserve"> PAGEREF _Toc16913 \h </w:instrText>
          </w:r>
          <w:r>
            <w:rPr>
              <w:sz w:val="21"/>
              <w:szCs w:val="21"/>
            </w:rPr>
            <w:fldChar w:fldCharType="separate"/>
          </w:r>
          <w:r>
            <w:rPr>
              <w:sz w:val="21"/>
              <w:szCs w:val="21"/>
            </w:rPr>
            <w:t>21</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_Toc23772 </w:instrText>
          </w:r>
          <w:r>
            <w:rPr>
              <w:sz w:val="21"/>
              <w:szCs w:val="21"/>
            </w:rPr>
            <w:fldChar w:fldCharType="separate"/>
          </w:r>
          <w:r>
            <w:rPr>
              <w:rFonts w:hint="default" w:ascii="Times New Roman" w:hAnsi="Times New Roman" w:eastAsia="宋体" w:cs="宋体"/>
              <w:sz w:val="21"/>
              <w:szCs w:val="21"/>
            </w:rPr>
            <w:t xml:space="preserve">4.4 </w:t>
          </w:r>
          <w:r>
            <w:rPr>
              <w:rFonts w:hint="eastAsia"/>
              <w:sz w:val="21"/>
              <w:szCs w:val="21"/>
              <w:lang w:eastAsia="zh-CN"/>
            </w:rPr>
            <w:t>对水生态的影响分析</w:t>
          </w:r>
          <w:r>
            <w:rPr>
              <w:sz w:val="21"/>
              <w:szCs w:val="21"/>
            </w:rPr>
            <w:tab/>
          </w:r>
          <w:r>
            <w:rPr>
              <w:sz w:val="21"/>
              <w:szCs w:val="21"/>
            </w:rPr>
            <w:fldChar w:fldCharType="begin"/>
          </w:r>
          <w:r>
            <w:rPr>
              <w:sz w:val="21"/>
              <w:szCs w:val="21"/>
            </w:rPr>
            <w:instrText xml:space="preserve"> PAGEREF _Toc23772 \h </w:instrText>
          </w:r>
          <w:r>
            <w:rPr>
              <w:sz w:val="21"/>
              <w:szCs w:val="21"/>
            </w:rPr>
            <w:fldChar w:fldCharType="separate"/>
          </w:r>
          <w:r>
            <w:rPr>
              <w:sz w:val="21"/>
              <w:szCs w:val="21"/>
            </w:rPr>
            <w:t>21</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_Toc15549 </w:instrText>
          </w:r>
          <w:r>
            <w:rPr>
              <w:sz w:val="21"/>
              <w:szCs w:val="21"/>
            </w:rPr>
            <w:fldChar w:fldCharType="separate"/>
          </w:r>
          <w:r>
            <w:rPr>
              <w:rFonts w:hint="default" w:ascii="Times New Roman" w:hAnsi="Times New Roman" w:eastAsia="宋体" w:cs="宋体"/>
              <w:sz w:val="21"/>
              <w:szCs w:val="21"/>
              <w:lang w:eastAsia="zh-CN"/>
            </w:rPr>
            <w:t xml:space="preserve">4.5 </w:t>
          </w:r>
          <w:r>
            <w:rPr>
              <w:rFonts w:hint="default"/>
              <w:sz w:val="21"/>
              <w:szCs w:val="21"/>
              <w:lang w:eastAsia="zh-CN"/>
            </w:rPr>
            <w:t>对水生态的影响分析</w:t>
          </w:r>
          <w:r>
            <w:rPr>
              <w:sz w:val="21"/>
              <w:szCs w:val="21"/>
            </w:rPr>
            <w:tab/>
          </w:r>
          <w:r>
            <w:rPr>
              <w:sz w:val="21"/>
              <w:szCs w:val="21"/>
            </w:rPr>
            <w:fldChar w:fldCharType="begin"/>
          </w:r>
          <w:r>
            <w:rPr>
              <w:sz w:val="21"/>
              <w:szCs w:val="21"/>
            </w:rPr>
            <w:instrText xml:space="preserve"> PAGEREF _Toc15549 \h </w:instrText>
          </w:r>
          <w:r>
            <w:rPr>
              <w:sz w:val="21"/>
              <w:szCs w:val="21"/>
            </w:rPr>
            <w:fldChar w:fldCharType="separate"/>
          </w:r>
          <w:r>
            <w:rPr>
              <w:sz w:val="21"/>
              <w:szCs w:val="21"/>
            </w:rPr>
            <w:t>22</w:t>
          </w:r>
          <w:r>
            <w:rPr>
              <w:sz w:val="21"/>
              <w:szCs w:val="21"/>
            </w:rPr>
            <w:fldChar w:fldCharType="end"/>
          </w:r>
          <w:r>
            <w:rPr>
              <w:sz w:val="21"/>
              <w:szCs w:val="21"/>
            </w:rPr>
            <w:fldChar w:fldCharType="end"/>
          </w:r>
        </w:p>
        <w:p>
          <w:pPr>
            <w:pStyle w:val="12"/>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_Toc16578 </w:instrText>
          </w:r>
          <w:r>
            <w:rPr>
              <w:sz w:val="21"/>
              <w:szCs w:val="21"/>
            </w:rPr>
            <w:fldChar w:fldCharType="separate"/>
          </w:r>
          <w:r>
            <w:rPr>
              <w:rFonts w:hint="default" w:ascii="Times New Roman" w:hAnsi="Times New Roman" w:eastAsia="宋体" w:cs="宋体"/>
              <w:sz w:val="21"/>
              <w:szCs w:val="21"/>
              <w:lang w:eastAsia="zh-CN"/>
            </w:rPr>
            <w:t xml:space="preserve">4.6 </w:t>
          </w:r>
          <w:r>
            <w:rPr>
              <w:rFonts w:hint="default"/>
              <w:sz w:val="21"/>
              <w:szCs w:val="21"/>
              <w:lang w:eastAsia="zh-CN"/>
            </w:rPr>
            <w:t>与防洪安全的适应性分析</w:t>
          </w:r>
          <w:r>
            <w:rPr>
              <w:sz w:val="21"/>
              <w:szCs w:val="21"/>
            </w:rPr>
            <w:tab/>
          </w:r>
          <w:r>
            <w:rPr>
              <w:sz w:val="21"/>
              <w:szCs w:val="21"/>
            </w:rPr>
            <w:fldChar w:fldCharType="begin"/>
          </w:r>
          <w:r>
            <w:rPr>
              <w:sz w:val="21"/>
              <w:szCs w:val="21"/>
            </w:rPr>
            <w:instrText xml:space="preserve"> PAGEREF _Toc16578 \h </w:instrText>
          </w:r>
          <w:r>
            <w:rPr>
              <w:sz w:val="21"/>
              <w:szCs w:val="21"/>
            </w:rPr>
            <w:fldChar w:fldCharType="separate"/>
          </w:r>
          <w:r>
            <w:rPr>
              <w:sz w:val="21"/>
              <w:szCs w:val="21"/>
            </w:rPr>
            <w:t>23</w:t>
          </w:r>
          <w:r>
            <w:rPr>
              <w:sz w:val="21"/>
              <w:szCs w:val="21"/>
            </w:rPr>
            <w:fldChar w:fldCharType="end"/>
          </w:r>
          <w:r>
            <w:rPr>
              <w:sz w:val="21"/>
              <w:szCs w:val="21"/>
            </w:rPr>
            <w:fldChar w:fldCharType="end"/>
          </w:r>
        </w:p>
        <w:p>
          <w:pPr>
            <w:pStyle w:val="11"/>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_Toc27751 </w:instrText>
          </w:r>
          <w:r>
            <w:rPr>
              <w:sz w:val="21"/>
              <w:szCs w:val="21"/>
            </w:rPr>
            <w:fldChar w:fldCharType="separate"/>
          </w:r>
          <w:r>
            <w:rPr>
              <w:rFonts w:hint="default" w:ascii="Times New Roman" w:hAnsi="Times New Roman" w:eastAsia="宋体" w:cs="宋体"/>
              <w:sz w:val="21"/>
              <w:szCs w:val="21"/>
              <w:lang w:val="en-US" w:eastAsia="zh-CN"/>
            </w:rPr>
            <w:t xml:space="preserve">5 </w:t>
          </w:r>
          <w:r>
            <w:rPr>
              <w:rFonts w:hint="default"/>
              <w:sz w:val="21"/>
              <w:szCs w:val="21"/>
              <w:lang w:val="en-US" w:eastAsia="zh-CN"/>
            </w:rPr>
            <w:t>入河排污口</w:t>
          </w:r>
          <w:r>
            <w:rPr>
              <w:rFonts w:hint="eastAsia"/>
              <w:sz w:val="21"/>
              <w:szCs w:val="21"/>
              <w:lang w:val="en-US" w:eastAsia="zh-CN"/>
            </w:rPr>
            <w:t>设置</w:t>
          </w:r>
          <w:r>
            <w:rPr>
              <w:rFonts w:hint="default"/>
              <w:sz w:val="21"/>
              <w:szCs w:val="21"/>
              <w:lang w:val="en-US" w:eastAsia="zh-CN"/>
            </w:rPr>
            <w:t>合理性分析结论</w:t>
          </w:r>
          <w:r>
            <w:rPr>
              <w:sz w:val="21"/>
              <w:szCs w:val="21"/>
            </w:rPr>
            <w:tab/>
          </w:r>
          <w:r>
            <w:rPr>
              <w:sz w:val="21"/>
              <w:szCs w:val="21"/>
            </w:rPr>
            <w:fldChar w:fldCharType="begin"/>
          </w:r>
          <w:r>
            <w:rPr>
              <w:sz w:val="21"/>
              <w:szCs w:val="21"/>
            </w:rPr>
            <w:instrText xml:space="preserve"> PAGEREF _Toc27751 \h </w:instrText>
          </w:r>
          <w:r>
            <w:rPr>
              <w:sz w:val="21"/>
              <w:szCs w:val="21"/>
            </w:rPr>
            <w:fldChar w:fldCharType="separate"/>
          </w:r>
          <w:r>
            <w:rPr>
              <w:sz w:val="21"/>
              <w:szCs w:val="21"/>
            </w:rPr>
            <w:t>23</w:t>
          </w:r>
          <w:r>
            <w:rPr>
              <w:sz w:val="21"/>
              <w:szCs w:val="21"/>
            </w:rPr>
            <w:fldChar w:fldCharType="end"/>
          </w:r>
          <w:r>
            <w:rPr>
              <w:sz w:val="21"/>
              <w:szCs w:val="21"/>
            </w:rPr>
            <w:fldChar w:fldCharType="end"/>
          </w:r>
        </w:p>
        <w:p>
          <w:pPr>
            <w:pStyle w:val="11"/>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rPr>
              <w:sz w:val="21"/>
              <w:szCs w:val="21"/>
            </w:rPr>
          </w:pPr>
          <w:r>
            <w:rPr>
              <w:sz w:val="21"/>
              <w:szCs w:val="21"/>
            </w:rPr>
            <w:fldChar w:fldCharType="begin"/>
          </w:r>
          <w:r>
            <w:rPr>
              <w:sz w:val="21"/>
              <w:szCs w:val="21"/>
            </w:rPr>
            <w:instrText xml:space="preserve"> HYPERLINK \l _Toc6730 </w:instrText>
          </w:r>
          <w:r>
            <w:rPr>
              <w:sz w:val="21"/>
              <w:szCs w:val="21"/>
            </w:rPr>
            <w:fldChar w:fldCharType="separate"/>
          </w:r>
          <w:r>
            <w:rPr>
              <w:rFonts w:hint="eastAsia" w:ascii="宋体" w:hAnsi="宋体" w:eastAsia="宋体" w:cs="宋体"/>
              <w:spacing w:val="7"/>
              <w:kern w:val="2"/>
              <w:sz w:val="21"/>
              <w:szCs w:val="21"/>
              <w:lang w:val="en-US" w:eastAsia="zh-CN" w:bidi="ar-SA"/>
            </w:rPr>
            <w:t>附件1：项目环境影响评价批复</w:t>
          </w:r>
          <w:r>
            <w:rPr>
              <w:sz w:val="21"/>
              <w:szCs w:val="21"/>
            </w:rPr>
            <w:tab/>
          </w:r>
          <w:r>
            <w:rPr>
              <w:sz w:val="21"/>
              <w:szCs w:val="21"/>
            </w:rPr>
            <w:fldChar w:fldCharType="begin"/>
          </w:r>
          <w:r>
            <w:rPr>
              <w:sz w:val="21"/>
              <w:szCs w:val="21"/>
            </w:rPr>
            <w:instrText xml:space="preserve"> PAGEREF _Toc6730 \h </w:instrText>
          </w:r>
          <w:r>
            <w:rPr>
              <w:sz w:val="21"/>
              <w:szCs w:val="21"/>
            </w:rPr>
            <w:fldChar w:fldCharType="separate"/>
          </w:r>
          <w:r>
            <w:rPr>
              <w:sz w:val="21"/>
              <w:szCs w:val="21"/>
            </w:rPr>
            <w:t>28</w:t>
          </w:r>
          <w:r>
            <w:rPr>
              <w:sz w:val="21"/>
              <w:szCs w:val="21"/>
            </w:rPr>
            <w:fldChar w:fldCharType="end"/>
          </w:r>
          <w:r>
            <w:rPr>
              <w:sz w:val="21"/>
              <w:szCs w:val="21"/>
            </w:rPr>
            <w:fldChar w:fldCharType="end"/>
          </w:r>
        </w:p>
        <w:p>
          <w:pPr>
            <w:pStyle w:val="11"/>
            <w:keepNext w:val="0"/>
            <w:keepLines w:val="0"/>
            <w:pageBreakBefore w:val="0"/>
            <w:widowControl w:val="0"/>
            <w:tabs>
              <w:tab w:val="right" w:leader="dot" w:pos="8414"/>
            </w:tabs>
            <w:kinsoku/>
            <w:wordWrap/>
            <w:overflowPunct/>
            <w:topLinePunct w:val="0"/>
            <w:autoSpaceDE/>
            <w:autoSpaceDN/>
            <w:bidi w:val="0"/>
            <w:adjustRightInd/>
            <w:snapToGrid/>
            <w:spacing w:line="336" w:lineRule="auto"/>
            <w:textAlignment w:val="auto"/>
          </w:pPr>
          <w:r>
            <w:rPr>
              <w:sz w:val="21"/>
              <w:szCs w:val="21"/>
            </w:rPr>
            <w:fldChar w:fldCharType="begin"/>
          </w:r>
          <w:r>
            <w:rPr>
              <w:sz w:val="21"/>
              <w:szCs w:val="21"/>
            </w:rPr>
            <w:instrText xml:space="preserve"> HYPERLINK \l _Toc13920 </w:instrText>
          </w:r>
          <w:r>
            <w:rPr>
              <w:sz w:val="21"/>
              <w:szCs w:val="21"/>
            </w:rPr>
            <w:fldChar w:fldCharType="separate"/>
          </w:r>
          <w:r>
            <w:rPr>
              <w:rFonts w:hint="eastAsia" w:ascii="宋体" w:hAnsi="宋体" w:eastAsia="宋体" w:cs="宋体"/>
              <w:spacing w:val="7"/>
              <w:kern w:val="2"/>
              <w:sz w:val="21"/>
              <w:szCs w:val="21"/>
              <w:lang w:val="en-US" w:eastAsia="zh-CN" w:bidi="ar-SA"/>
            </w:rPr>
            <w:t>附件2：三河口桥断面监测数据</w:t>
          </w:r>
          <w:r>
            <w:rPr>
              <w:sz w:val="21"/>
              <w:szCs w:val="21"/>
            </w:rPr>
            <w:tab/>
          </w:r>
          <w:r>
            <w:rPr>
              <w:sz w:val="21"/>
              <w:szCs w:val="21"/>
            </w:rPr>
            <w:fldChar w:fldCharType="begin"/>
          </w:r>
          <w:r>
            <w:rPr>
              <w:sz w:val="21"/>
              <w:szCs w:val="21"/>
            </w:rPr>
            <w:instrText xml:space="preserve"> PAGEREF _Toc13920 \h </w:instrText>
          </w:r>
          <w:r>
            <w:rPr>
              <w:sz w:val="21"/>
              <w:szCs w:val="21"/>
            </w:rPr>
            <w:fldChar w:fldCharType="separate"/>
          </w:r>
          <w:r>
            <w:rPr>
              <w:sz w:val="21"/>
              <w:szCs w:val="21"/>
            </w:rPr>
            <w:t>31</w:t>
          </w:r>
          <w:r>
            <w:rPr>
              <w:sz w:val="21"/>
              <w:szCs w:val="21"/>
            </w:rPr>
            <w:fldChar w:fldCharType="end"/>
          </w:r>
          <w:r>
            <w:rPr>
              <w:sz w:val="21"/>
              <w:szCs w:val="21"/>
            </w:rPr>
            <w:fldChar w:fldCharType="end"/>
          </w:r>
        </w:p>
        <w:p>
          <w:pPr>
            <w:keepNext w:val="0"/>
            <w:keepLines w:val="0"/>
            <w:pageBreakBefore w:val="0"/>
            <w:kinsoku/>
            <w:wordWrap/>
            <w:overflowPunct/>
            <w:topLinePunct w:val="0"/>
            <w:autoSpaceDE/>
            <w:autoSpaceDN/>
            <w:bidi w:val="0"/>
            <w:adjustRightInd/>
            <w:snapToGrid/>
            <w:spacing w:line="336" w:lineRule="auto"/>
            <w:textAlignment w:val="auto"/>
          </w:pPr>
          <w:r>
            <w:fldChar w:fldCharType="end"/>
          </w:r>
        </w:p>
      </w:sdtContent>
    </w:sdt>
    <w:p>
      <w:pPr>
        <w:pStyle w:val="2"/>
        <w:bidi w:val="0"/>
        <w:ind w:left="0" w:leftChars="0" w:firstLine="0" w:firstLineChars="0"/>
        <w:rPr>
          <w:rFonts w:hint="default"/>
        </w:rPr>
      </w:pPr>
      <w:bookmarkStart w:id="8" w:name="_Toc11660"/>
      <w:r>
        <w:rPr>
          <w:rFonts w:hint="default"/>
        </w:rPr>
        <w:t>总则</w:t>
      </w:r>
      <w:bookmarkEnd w:id="4"/>
      <w:bookmarkEnd w:id="8"/>
    </w:p>
    <w:p>
      <w:pPr>
        <w:keepNext/>
        <w:keepLines/>
        <w:pageBreakBefore w:val="0"/>
        <w:widowControl w:val="0"/>
        <w:kinsoku/>
        <w:wordWrap/>
        <w:overflowPunct/>
        <w:topLinePunct w:val="0"/>
        <w:autoSpaceDE/>
        <w:autoSpaceDN/>
        <w:bidi w:val="0"/>
        <w:adjustRightInd/>
        <w:snapToGrid/>
        <w:spacing w:before="31" w:beforeLines="10" w:after="31" w:afterLines="10" w:line="520" w:lineRule="exact"/>
        <w:textAlignment w:val="auto"/>
        <w:outlineLvl w:val="1"/>
        <w:rPr>
          <w:rFonts w:hint="default" w:ascii="Times New Roman" w:hAnsi="Times New Roman" w:eastAsia="宋体" w:cs="Times New Roman"/>
          <w:b/>
          <w:bCs/>
          <w:sz w:val="28"/>
          <w:szCs w:val="28"/>
          <w:highlight w:val="none"/>
        </w:rPr>
      </w:pPr>
      <w:bookmarkStart w:id="9" w:name="_Toc418788120"/>
      <w:bookmarkStart w:id="10" w:name="_Toc428982492"/>
      <w:bookmarkStart w:id="11" w:name="_Toc427602490"/>
      <w:bookmarkStart w:id="12" w:name="_Toc4397"/>
      <w:bookmarkStart w:id="13" w:name="_Toc10720"/>
      <w:r>
        <w:rPr>
          <w:rFonts w:hint="default" w:ascii="Times New Roman" w:hAnsi="Times New Roman" w:eastAsia="宋体" w:cs="Times New Roman"/>
          <w:b/>
          <w:bCs/>
          <w:sz w:val="28"/>
          <w:szCs w:val="28"/>
          <w:highlight w:val="none"/>
        </w:rPr>
        <w:t>1.1</w:t>
      </w:r>
      <w:bookmarkEnd w:id="9"/>
      <w:bookmarkEnd w:id="10"/>
      <w:bookmarkEnd w:id="11"/>
      <w:r>
        <w:rPr>
          <w:rFonts w:hint="eastAsia" w:ascii="Times New Roman" w:hAnsi="Times New Roman" w:eastAsia="宋体" w:cs="Times New Roman"/>
          <w:b/>
          <w:bCs/>
          <w:sz w:val="28"/>
          <w:szCs w:val="28"/>
          <w:highlight w:val="none"/>
          <w:lang w:val="en-US" w:eastAsia="zh-CN"/>
        </w:rPr>
        <w:t>分析</w:t>
      </w:r>
      <w:r>
        <w:rPr>
          <w:rFonts w:hint="default" w:ascii="Times New Roman" w:hAnsi="Times New Roman" w:eastAsia="宋体" w:cs="Times New Roman"/>
          <w:b/>
          <w:bCs/>
          <w:sz w:val="28"/>
          <w:szCs w:val="28"/>
          <w:highlight w:val="none"/>
        </w:rPr>
        <w:t>目的</w:t>
      </w:r>
      <w:bookmarkEnd w:id="12"/>
      <w:bookmarkEnd w:id="13"/>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highlight w:val="none"/>
          <w:lang w:eastAsia="zh-CN"/>
        </w:rPr>
      </w:pPr>
      <w:bookmarkStart w:id="14" w:name="_Toc430761666"/>
      <w:r>
        <w:rPr>
          <w:rFonts w:hint="default" w:ascii="Times New Roman" w:hAnsi="Times New Roman" w:eastAsia="宋体" w:cs="Times New Roman"/>
          <w:sz w:val="24"/>
          <w:highlight w:val="none"/>
          <w:lang w:eastAsia="zh-CN"/>
        </w:rPr>
        <w:t>根据对</w:t>
      </w:r>
      <w:r>
        <w:rPr>
          <w:rFonts w:hint="eastAsia" w:ascii="Times New Roman" w:hAnsi="Times New Roman" w:eastAsia="宋体" w:cs="Times New Roman"/>
          <w:sz w:val="24"/>
          <w:highlight w:val="none"/>
          <w:lang w:eastAsia="zh-CN"/>
        </w:rPr>
        <w:t>陕西省水务集团潼关县污水处理有限公司建设</w:t>
      </w:r>
      <w:r>
        <w:rPr>
          <w:rFonts w:hint="eastAsia" w:ascii="Times New Roman" w:hAnsi="Times New Roman" w:eastAsia="宋体" w:cs="Times New Roman"/>
          <w:sz w:val="24"/>
          <w:highlight w:val="none"/>
          <w:lang w:val="en-US" w:eastAsia="zh-CN"/>
        </w:rPr>
        <w:t>的</w:t>
      </w:r>
      <w:r>
        <w:rPr>
          <w:rFonts w:hint="eastAsia" w:ascii="Times New Roman" w:hAnsi="Times New Roman" w:eastAsia="宋体" w:cs="Times New Roman"/>
          <w:sz w:val="24"/>
          <w:highlight w:val="none"/>
          <w:lang w:eastAsia="zh-CN"/>
        </w:rPr>
        <w:t>潼关县桐峪镇污水处理站</w:t>
      </w:r>
      <w:r>
        <w:rPr>
          <w:rFonts w:hint="default" w:ascii="Times New Roman" w:hAnsi="Times New Roman" w:eastAsia="宋体" w:cs="Times New Roman"/>
          <w:sz w:val="24"/>
          <w:highlight w:val="none"/>
          <w:lang w:eastAsia="zh-CN"/>
        </w:rPr>
        <w:t>的现场勘查情况，分析该项目排污口设置有关信息，在满足水功能区（水域）保护要求的前提下，</w:t>
      </w:r>
      <w:r>
        <w:rPr>
          <w:rFonts w:hint="eastAsia" w:ascii="Times New Roman" w:hAnsi="Times New Roman" w:eastAsia="宋体" w:cs="Times New Roman"/>
          <w:sz w:val="24"/>
          <w:highlight w:val="none"/>
          <w:lang w:val="en-US" w:eastAsia="zh-CN"/>
        </w:rPr>
        <w:t>分析</w:t>
      </w:r>
      <w:r>
        <w:rPr>
          <w:rFonts w:hint="default" w:ascii="Times New Roman" w:hAnsi="Times New Roman" w:eastAsia="宋体" w:cs="Times New Roman"/>
          <w:sz w:val="24"/>
          <w:highlight w:val="none"/>
          <w:lang w:eastAsia="zh-CN"/>
        </w:rPr>
        <w:t>入河排污口设置对水功能区（水域）水质、水生态和第三者权益的影响。根据纳污能力、水域保护目标等要求，提出水资源保护措施，优化排污口的设置方案，为行政主管部门审批入河排污口以及建设单位合理设置入河排污口提供科学依据，以保证生活、生产和生态用水安全。</w:t>
      </w:r>
      <w:bookmarkEnd w:id="14"/>
    </w:p>
    <w:p>
      <w:pPr>
        <w:keepNext/>
        <w:keepLines/>
        <w:spacing w:before="31" w:beforeLines="10" w:after="31" w:afterLines="10" w:line="360" w:lineRule="auto"/>
        <w:outlineLvl w:val="1"/>
        <w:rPr>
          <w:rFonts w:hint="default" w:ascii="Times New Roman" w:hAnsi="Times New Roman" w:eastAsia="宋体" w:cs="Times New Roman"/>
          <w:b/>
          <w:bCs/>
          <w:sz w:val="28"/>
          <w:szCs w:val="28"/>
          <w:highlight w:val="none"/>
        </w:rPr>
      </w:pPr>
      <w:bookmarkStart w:id="15" w:name="_Toc427602492"/>
      <w:bookmarkStart w:id="16" w:name="_Toc418788121"/>
      <w:bookmarkStart w:id="17" w:name="_Toc428982493"/>
      <w:bookmarkStart w:id="18" w:name="_Toc241062164"/>
      <w:bookmarkStart w:id="19" w:name="_Toc158530064"/>
      <w:bookmarkStart w:id="20" w:name="_Toc343699374"/>
      <w:bookmarkStart w:id="21" w:name="_Toc18525"/>
      <w:bookmarkStart w:id="22" w:name="_Toc16540"/>
      <w:r>
        <w:rPr>
          <w:rFonts w:hint="default" w:ascii="Times New Roman" w:hAnsi="Times New Roman" w:eastAsia="宋体" w:cs="Times New Roman"/>
          <w:b/>
          <w:bCs/>
          <w:sz w:val="28"/>
          <w:szCs w:val="28"/>
          <w:highlight w:val="none"/>
        </w:rPr>
        <w:t>1.2</w:t>
      </w:r>
      <w:bookmarkEnd w:id="15"/>
      <w:bookmarkEnd w:id="16"/>
      <w:bookmarkEnd w:id="17"/>
      <w:bookmarkEnd w:id="18"/>
      <w:bookmarkEnd w:id="19"/>
      <w:bookmarkEnd w:id="20"/>
      <w:r>
        <w:rPr>
          <w:rFonts w:hint="eastAsia" w:ascii="Times New Roman" w:hAnsi="Times New Roman" w:eastAsia="宋体" w:cs="Times New Roman"/>
          <w:b/>
          <w:bCs/>
          <w:sz w:val="28"/>
          <w:szCs w:val="28"/>
          <w:highlight w:val="none"/>
          <w:lang w:val="en-US" w:eastAsia="zh-CN"/>
        </w:rPr>
        <w:t>分析</w:t>
      </w:r>
      <w:r>
        <w:rPr>
          <w:rFonts w:hint="default" w:ascii="Times New Roman" w:hAnsi="Times New Roman" w:eastAsia="宋体" w:cs="Times New Roman"/>
          <w:b/>
          <w:bCs/>
          <w:sz w:val="28"/>
          <w:szCs w:val="28"/>
          <w:highlight w:val="none"/>
        </w:rPr>
        <w:t>原则及依据</w:t>
      </w:r>
      <w:bookmarkEnd w:id="21"/>
      <w:bookmarkEnd w:id="22"/>
    </w:p>
    <w:p>
      <w:pPr>
        <w:keepNext/>
        <w:keepLines/>
        <w:spacing w:before="31" w:beforeLines="10" w:after="31" w:afterLines="10" w:line="360" w:lineRule="auto"/>
        <w:outlineLvl w:val="2"/>
        <w:rPr>
          <w:rFonts w:hint="default" w:ascii="Times New Roman" w:hAnsi="Times New Roman" w:eastAsia="宋体" w:cs="Times New Roman"/>
          <w:b/>
          <w:bCs/>
          <w:sz w:val="24"/>
          <w:szCs w:val="24"/>
          <w:highlight w:val="none"/>
        </w:rPr>
      </w:pPr>
      <w:bookmarkStart w:id="23" w:name="_Toc430761668"/>
      <w:r>
        <w:rPr>
          <w:rFonts w:hint="default" w:ascii="Times New Roman" w:hAnsi="Times New Roman" w:eastAsia="宋体" w:cs="Times New Roman"/>
          <w:b/>
          <w:bCs/>
          <w:sz w:val="24"/>
          <w:szCs w:val="24"/>
          <w:highlight w:val="none"/>
        </w:rPr>
        <w:t>1.2.1</w:t>
      </w:r>
      <w:r>
        <w:rPr>
          <w:rFonts w:hint="eastAsia" w:ascii="Times New Roman" w:hAnsi="Times New Roman" w:eastAsia="宋体" w:cs="Times New Roman"/>
          <w:b/>
          <w:bCs/>
          <w:sz w:val="24"/>
          <w:szCs w:val="24"/>
          <w:highlight w:val="none"/>
          <w:lang w:val="en-US" w:eastAsia="zh-CN"/>
        </w:rPr>
        <w:t>分析</w:t>
      </w:r>
      <w:r>
        <w:rPr>
          <w:rFonts w:hint="default" w:ascii="Times New Roman" w:hAnsi="Times New Roman" w:eastAsia="宋体" w:cs="Times New Roman"/>
          <w:b/>
          <w:bCs/>
          <w:sz w:val="24"/>
          <w:szCs w:val="24"/>
          <w:highlight w:val="none"/>
        </w:rPr>
        <w:t>原则</w:t>
      </w:r>
      <w:bookmarkEnd w:id="23"/>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bookmarkStart w:id="24" w:name="_Toc430761669"/>
      <w:r>
        <w:rPr>
          <w:rFonts w:hint="default" w:ascii="Times New Roman" w:hAnsi="Times New Roman" w:eastAsia="宋体" w:cs="Times New Roman"/>
          <w:sz w:val="24"/>
          <w:szCs w:val="24"/>
          <w:highlight w:val="none"/>
        </w:rPr>
        <w:t>论证的原则主要为以下四点：</w:t>
      </w:r>
      <w:bookmarkEnd w:id="24"/>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bookmarkStart w:id="25" w:name="_Toc430761670"/>
      <w:r>
        <w:rPr>
          <w:rFonts w:hint="default" w:ascii="Times New Roman" w:hAnsi="Times New Roman" w:eastAsia="宋体" w:cs="Times New Roman"/>
          <w:sz w:val="24"/>
          <w:szCs w:val="24"/>
          <w:highlight w:val="none"/>
        </w:rPr>
        <w:t>（1）符合国家法律、法规和相关政策的要求和规定；</w:t>
      </w:r>
      <w:bookmarkEnd w:id="25"/>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bookmarkStart w:id="26" w:name="_Toc430761671"/>
      <w:r>
        <w:rPr>
          <w:rFonts w:hint="default" w:ascii="Times New Roman" w:hAnsi="Times New Roman" w:eastAsia="宋体" w:cs="Times New Roman"/>
          <w:sz w:val="24"/>
          <w:szCs w:val="24"/>
          <w:highlight w:val="none"/>
        </w:rPr>
        <w:t>（2）符合国家和行业有关技术标准与规范、规程；</w:t>
      </w:r>
      <w:bookmarkEnd w:id="26"/>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bookmarkStart w:id="27" w:name="_Toc430761672"/>
      <w:r>
        <w:rPr>
          <w:rFonts w:hint="default" w:ascii="Times New Roman" w:hAnsi="Times New Roman" w:eastAsia="宋体" w:cs="Times New Roman"/>
          <w:sz w:val="24"/>
          <w:szCs w:val="24"/>
          <w:highlight w:val="none"/>
        </w:rPr>
        <w:t>（3）符合流域或区域的综合规划及水资源保护等专业规划；</w:t>
      </w:r>
      <w:bookmarkEnd w:id="27"/>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bookmarkStart w:id="28" w:name="_Toc430761673"/>
      <w:r>
        <w:rPr>
          <w:rFonts w:hint="default" w:ascii="Times New Roman" w:hAnsi="Times New Roman" w:eastAsia="宋体" w:cs="Times New Roman"/>
          <w:sz w:val="24"/>
          <w:szCs w:val="24"/>
          <w:highlight w:val="none"/>
        </w:rPr>
        <w:t>（4）符合水功能区管理要求。</w:t>
      </w:r>
      <w:bookmarkEnd w:id="28"/>
    </w:p>
    <w:p>
      <w:pPr>
        <w:keepNext/>
        <w:keepLines/>
        <w:spacing w:before="31" w:beforeLines="10" w:after="31" w:afterLines="10" w:line="360" w:lineRule="auto"/>
        <w:outlineLvl w:val="2"/>
        <w:rPr>
          <w:rFonts w:hint="default" w:ascii="Times New Roman" w:hAnsi="Times New Roman" w:eastAsia="宋体" w:cs="Times New Roman"/>
          <w:b/>
          <w:bCs/>
          <w:sz w:val="24"/>
          <w:szCs w:val="24"/>
          <w:highlight w:val="none"/>
        </w:rPr>
      </w:pPr>
      <w:bookmarkStart w:id="29" w:name="_Toc430761674"/>
      <w:r>
        <w:rPr>
          <w:rFonts w:hint="default" w:ascii="Times New Roman" w:hAnsi="Times New Roman" w:eastAsia="宋体" w:cs="Times New Roman"/>
          <w:b/>
          <w:bCs/>
          <w:sz w:val="24"/>
          <w:szCs w:val="24"/>
          <w:highlight w:val="none"/>
        </w:rPr>
        <w:t>1.2.2</w:t>
      </w:r>
      <w:r>
        <w:rPr>
          <w:rFonts w:hint="eastAsia" w:ascii="Times New Roman" w:hAnsi="Times New Roman" w:eastAsia="宋体" w:cs="Times New Roman"/>
          <w:b/>
          <w:bCs/>
          <w:sz w:val="24"/>
          <w:szCs w:val="24"/>
          <w:highlight w:val="none"/>
          <w:lang w:val="en-US" w:eastAsia="zh-CN"/>
        </w:rPr>
        <w:t>分析</w:t>
      </w:r>
      <w:r>
        <w:rPr>
          <w:rFonts w:hint="default" w:ascii="Times New Roman" w:hAnsi="Times New Roman" w:eastAsia="宋体" w:cs="Times New Roman"/>
          <w:b/>
          <w:bCs/>
          <w:sz w:val="24"/>
          <w:szCs w:val="24"/>
          <w:highlight w:val="none"/>
        </w:rPr>
        <w:t>依据</w:t>
      </w:r>
      <w:bookmarkEnd w:id="2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sz w:val="24"/>
          <w:highlight w:val="none"/>
        </w:rPr>
      </w:pPr>
      <w:bookmarkStart w:id="30" w:name="_Toc430761675"/>
      <w:r>
        <w:rPr>
          <w:rFonts w:hint="default" w:ascii="Times New Roman" w:hAnsi="Times New Roman" w:eastAsia="宋体" w:cs="Times New Roman"/>
          <w:b/>
          <w:sz w:val="24"/>
          <w:highlight w:val="none"/>
        </w:rPr>
        <w:t>1.2.2.1法律与法规</w:t>
      </w:r>
      <w:bookmarkEnd w:id="30"/>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（1）《中华人民共和国水法》（2016年7月2日起施行）；</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（2）《中华人民共和国水污染防治法（2017修正）》（2018年1月1日起施行）；</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（3）《中华人民共和国环境保护法（2014修订）》（2015年1月1日起施行）；</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（4）《中华人民共和国环境影响评价法（2018修正）》（2018年12月29日起施行）；</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（5）《中华人民共和国河道管理条例》（2018年3月19日起施行）；</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（6）《建设项目水资源论证管理办法（2017修改）》（2017年12月22日起施行）；</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（7）《建设项目环境保护管理条例》（2017年10月1日起施行）；</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（8）《水功能区监督管理办法》（水资源[2017]101号，2017年4月1日起施行）；</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（9）《入河排污口监督管理办法（2015修正）》（2015年12月16日起施行）；</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（10）《水利部关于进一步加强入河排污口监督管理工作的通知》（水资源[2017]138号）；</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（11）《关于做好入河排污口和水功能区划相关工作的通知》（环办水体〔2019〕</w:t>
      </w:r>
    </w:p>
    <w:p>
      <w:pPr>
        <w:pStyle w:val="7"/>
        <w:keepNext w:val="0"/>
        <w:keepLines w:val="0"/>
        <w:pageBreakBefore w:val="0"/>
        <w:widowControl w:val="0"/>
        <w:kinsoku/>
        <w:wordWrap/>
        <w:overflowPunct/>
        <w:topLinePunct w:val="0"/>
        <w:autoSpaceDE/>
        <w:autoSpaceDN/>
        <w:bidi w:val="0"/>
        <w:adjustRightInd/>
        <w:snapToGrid/>
        <w:spacing w:after="0" w:line="520" w:lineRule="exact"/>
        <w:ind w:right="0"/>
        <w:jc w:val="left"/>
        <w:textAlignment w:val="auto"/>
        <w:rPr>
          <w:rFonts w:hint="default" w:ascii="Times New Roman" w:hAnsi="Times New Roman" w:eastAsia="宋体" w:cs="Times New Roman"/>
          <w:sz w:val="24"/>
          <w:szCs w:val="24"/>
          <w:highlight w:val="none"/>
        </w:rPr>
      </w:pPr>
      <w:bookmarkStart w:id="31" w:name="_Toc30068"/>
      <w:bookmarkStart w:id="32" w:name="_Toc26730"/>
      <w:r>
        <w:rPr>
          <w:rFonts w:hint="default" w:ascii="Times New Roman" w:hAnsi="Times New Roman" w:eastAsia="宋体" w:cs="Times New Roman"/>
          <w:sz w:val="24"/>
          <w:szCs w:val="24"/>
          <w:highlight w:val="none"/>
        </w:rPr>
        <w:t>36号）；</w:t>
      </w:r>
      <w:bookmarkEnd w:id="31"/>
      <w:bookmarkEnd w:id="32"/>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bookmarkStart w:id="33" w:name="_Toc13051"/>
      <w:bookmarkStart w:id="34" w:name="_Toc16235"/>
      <w:r>
        <w:rPr>
          <w:rFonts w:hint="default" w:ascii="Times New Roman" w:hAnsi="Times New Roman" w:eastAsia="宋体" w:cs="Times New Roman"/>
          <w:sz w:val="24"/>
          <w:szCs w:val="24"/>
          <w:highlight w:val="none"/>
        </w:rPr>
        <w:t>（12）《陕西省河道管理条例》（2000年12月2日）；</w:t>
      </w:r>
      <w:bookmarkEnd w:id="33"/>
      <w:bookmarkEnd w:id="34"/>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（13）《陕西省水功能区划》（陕政办发[2004]100号）；</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（14）《陕西省入河排污口监督管理细则》（陕水发［2006］36号通知印发）；</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（15）陕西省水利厅《关于做好过渡期入河排污口设置管理工作的通知》（陕环水体函［2019］33号）；</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陕西省生态环境厅《关于规范我省入河排污口设置审批工作的通知》陕环发</w:t>
      </w:r>
      <w:r>
        <w:rPr>
          <w:rFonts w:hint="default" w:ascii="Times New Roman" w:hAnsi="Times New Roman" w:eastAsia="宋体" w:cs="Times New Roman"/>
          <w:sz w:val="24"/>
          <w:szCs w:val="24"/>
          <w:highlight w:val="none"/>
        </w:rPr>
        <w:t>［20</w:t>
      </w:r>
      <w:r>
        <w:rPr>
          <w:rFonts w:hint="eastAsia" w:ascii="Times New Roman" w:hAnsi="Times New Roman" w:eastAsia="宋体" w:cs="Times New Roman"/>
          <w:sz w:val="24"/>
          <w:szCs w:val="24"/>
          <w:highlight w:val="none"/>
          <w:lang w:val="en-US" w:eastAsia="zh-CN"/>
        </w:rPr>
        <w:t>23</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22</w:t>
      </w:r>
      <w:r>
        <w:rPr>
          <w:rFonts w:hint="default" w:ascii="Times New Roman" w:hAnsi="Times New Roman" w:eastAsia="宋体" w:cs="Times New Roman"/>
          <w:sz w:val="24"/>
          <w:szCs w:val="24"/>
          <w:highlight w:val="none"/>
        </w:rPr>
        <w:t>号</w:t>
      </w:r>
      <w:r>
        <w:rPr>
          <w:rFonts w:hint="eastAsia" w:ascii="Times New Roman" w:hAnsi="Times New Roman" w:eastAsia="宋体" w:cs="Times New Roman"/>
          <w:sz w:val="24"/>
          <w:szCs w:val="24"/>
          <w:highlight w:val="none"/>
          <w:lang w:eastAsia="zh-CN"/>
        </w:rPr>
        <w:t>；</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渭南市生态环境局《关于转发&lt;</w:t>
      </w:r>
      <w:r>
        <w:rPr>
          <w:rFonts w:hint="eastAsia" w:ascii="Times New Roman" w:hAnsi="Times New Roman" w:eastAsia="宋体" w:cs="Times New Roman"/>
          <w:sz w:val="24"/>
          <w:szCs w:val="24"/>
          <w:highlight w:val="none"/>
          <w:lang w:val="en-US" w:eastAsia="zh-CN"/>
        </w:rPr>
        <w:t>陕西省生态环境厅关于规范我省入河排污口设置审批工作的通知&gt;</w:t>
      </w:r>
      <w:r>
        <w:rPr>
          <w:rFonts w:hint="eastAsia" w:ascii="Times New Roman" w:hAnsi="Times New Roman" w:eastAsia="宋体" w:cs="Times New Roman"/>
          <w:sz w:val="24"/>
          <w:szCs w:val="24"/>
          <w:highlight w:val="none"/>
          <w:lang w:val="en-US" w:eastAsia="zh-CN"/>
        </w:rPr>
        <w:t>》渭环通</w:t>
      </w:r>
      <w:r>
        <w:rPr>
          <w:rFonts w:hint="default" w:ascii="Times New Roman" w:hAnsi="Times New Roman" w:eastAsia="宋体" w:cs="Times New Roman"/>
          <w:sz w:val="24"/>
          <w:szCs w:val="24"/>
          <w:highlight w:val="none"/>
        </w:rPr>
        <w:t>［20</w:t>
      </w:r>
      <w:r>
        <w:rPr>
          <w:rFonts w:hint="eastAsia" w:ascii="Times New Roman" w:hAnsi="Times New Roman" w:eastAsia="宋体" w:cs="Times New Roman"/>
          <w:sz w:val="24"/>
          <w:szCs w:val="24"/>
          <w:highlight w:val="none"/>
          <w:lang w:val="en-US" w:eastAsia="zh-CN"/>
        </w:rPr>
        <w:t>23</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84</w:t>
      </w:r>
      <w:r>
        <w:rPr>
          <w:rFonts w:hint="default" w:ascii="Times New Roman" w:hAnsi="Times New Roman" w:eastAsia="宋体" w:cs="Times New Roman"/>
          <w:sz w:val="24"/>
          <w:szCs w:val="24"/>
          <w:highlight w:val="none"/>
        </w:rPr>
        <w:t>号</w:t>
      </w:r>
    </w:p>
    <w:p>
      <w:pPr>
        <w:keepNext w:val="0"/>
        <w:keepLines w:val="0"/>
        <w:pageBreakBefore w:val="0"/>
        <w:widowControl w:val="0"/>
        <w:kinsoku/>
        <w:wordWrap/>
        <w:overflowPunct/>
        <w:topLinePunct w:val="0"/>
        <w:autoSpaceDE/>
        <w:autoSpaceDN/>
        <w:bidi w:val="0"/>
        <w:adjustRightInd/>
        <w:snapToGrid/>
        <w:spacing w:line="520" w:lineRule="exact"/>
        <w:ind w:firstLine="241" w:firstLineChars="100"/>
        <w:textAlignment w:val="auto"/>
        <w:rPr>
          <w:rFonts w:hint="default" w:ascii="Times New Roman" w:hAnsi="Times New Roman" w:eastAsia="宋体" w:cs="Times New Roman"/>
          <w:b/>
          <w:sz w:val="24"/>
          <w:highlight w:val="none"/>
        </w:rPr>
      </w:pPr>
      <w:bookmarkStart w:id="35" w:name="_Toc430761686"/>
      <w:r>
        <w:rPr>
          <w:rFonts w:hint="default" w:ascii="Times New Roman" w:hAnsi="Times New Roman" w:eastAsia="宋体" w:cs="Times New Roman"/>
          <w:b/>
          <w:sz w:val="24"/>
          <w:highlight w:val="none"/>
        </w:rPr>
        <w:t>1.2.2.2标准及规范</w:t>
      </w:r>
      <w:bookmarkEnd w:id="35"/>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bookmarkStart w:id="36" w:name="_Toc430761694"/>
      <w:r>
        <w:rPr>
          <w:rFonts w:hint="default" w:ascii="Times New Roman" w:hAnsi="Times New Roman" w:eastAsia="宋体" w:cs="Times New Roman"/>
          <w:sz w:val="24"/>
          <w:szCs w:val="24"/>
          <w:highlight w:val="none"/>
        </w:rPr>
        <w:t>（1）《地表水环境质量标准》（GB3838-2002）；</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（2）《污水综合排放标准》（GB8978-1996）；</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（3）《水资源评价导则》（SL/T238-1999）；</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（4）《水利水电工程水文计算规范》（SL/T278-2002）；</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（5）《水利工程水利计算规范》（SL104-95）；</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（6）《入河排污口设置论证基本要求》（试行）；</w:t>
      </w:r>
    </w:p>
    <w:p>
      <w:pPr>
        <w:pStyle w:val="7"/>
        <w:keepNext w:val="0"/>
        <w:keepLines w:val="0"/>
        <w:pageBreakBefore w:val="0"/>
        <w:widowControl w:val="0"/>
        <w:tabs>
          <w:tab w:val="left" w:pos="4195"/>
        </w:tabs>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（7）《环境影响评价技术导则地表水环境》（HJ2.3-2018）；</w:t>
      </w:r>
    </w:p>
    <w:p>
      <w:pPr>
        <w:pStyle w:val="7"/>
        <w:keepNext w:val="0"/>
        <w:keepLines w:val="0"/>
        <w:pageBreakBefore w:val="0"/>
        <w:widowControl w:val="0"/>
        <w:tabs>
          <w:tab w:val="left" w:pos="4195"/>
        </w:tabs>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（8）《环境影响评价技术导则地下水环境》（HJ610-2016）；</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outlineLvl w:val="1"/>
        <w:rPr>
          <w:rFonts w:hint="default" w:ascii="Times New Roman" w:hAnsi="Times New Roman" w:eastAsia="宋体" w:cs="Times New Roman"/>
          <w:sz w:val="24"/>
          <w:szCs w:val="24"/>
          <w:highlight w:val="none"/>
        </w:rPr>
      </w:pPr>
      <w:bookmarkStart w:id="37" w:name="_Toc11155"/>
      <w:bookmarkStart w:id="38" w:name="_Toc22489"/>
      <w:r>
        <w:rPr>
          <w:rFonts w:hint="default" w:ascii="Times New Roman" w:hAnsi="Times New Roman" w:eastAsia="宋体" w:cs="Times New Roman"/>
          <w:sz w:val="24"/>
          <w:szCs w:val="24"/>
          <w:highlight w:val="none"/>
        </w:rPr>
        <w:t>（9）《生活饮用水卫生标准》（GB5749-2006）；</w:t>
      </w:r>
      <w:bookmarkEnd w:id="37"/>
      <w:bookmarkEnd w:id="38"/>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）《地表水资源质量评价技术规程》（SL395-2007）；</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）《城镇污水处理厂污染物排放标准》（GB18918-2002）；</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)《陕西省黄河流域污水综合排放标准》（DB61/224-2018）；</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outlineLvl w:val="1"/>
        <w:rPr>
          <w:rFonts w:hint="default" w:ascii="Times New Roman" w:hAnsi="Times New Roman" w:eastAsia="宋体" w:cs="Times New Roman"/>
          <w:sz w:val="24"/>
          <w:szCs w:val="24"/>
          <w:highlight w:val="none"/>
        </w:rPr>
      </w:pPr>
      <w:bookmarkStart w:id="39" w:name="_Toc6770"/>
      <w:bookmarkStart w:id="40" w:name="_Toc23596"/>
      <w:r>
        <w:rPr>
          <w:rFonts w:hint="default"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）《生活饮用水卫生标准》（GB5749-2006）；</w:t>
      </w:r>
      <w:bookmarkEnd w:id="39"/>
      <w:bookmarkEnd w:id="40"/>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）《环境影响评价技术导则生态影响》（HJ19-2011）。</w:t>
      </w:r>
    </w:p>
    <w:p>
      <w:pPr>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1.2.2.3其他文件</w:t>
      </w:r>
      <w:bookmarkEnd w:id="36"/>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（1）《关于加强入河排污口监督管理工作的通知》（水利部水资源[2005]79号，2005年3月）；</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68"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w:t>
      </w:r>
      <w:r>
        <w:rPr>
          <w:rFonts w:hint="eastAsia" w:ascii="Times New Roman" w:hAnsi="Times New Roman" w:eastAsia="宋体" w:cs="Times New Roman"/>
          <w:spacing w:val="-3"/>
          <w:sz w:val="24"/>
          <w:szCs w:val="24"/>
          <w:highlight w:val="none"/>
          <w:lang w:val="en-US" w:eastAsia="zh-CN"/>
        </w:rPr>
        <w:t>2</w:t>
      </w:r>
      <w:r>
        <w:rPr>
          <w:rFonts w:hint="default" w:ascii="Times New Roman" w:hAnsi="Times New Roman" w:eastAsia="宋体" w:cs="Times New Roman"/>
          <w:spacing w:val="-3"/>
          <w:sz w:val="24"/>
          <w:szCs w:val="24"/>
          <w:highlight w:val="none"/>
        </w:rPr>
        <w:t>）《中共中央国务院关于加快水利改革发展的决定》（中发[2011]1号，2010</w:t>
      </w:r>
      <w:r>
        <w:rPr>
          <w:rFonts w:hint="default" w:ascii="Times New Roman" w:hAnsi="Times New Roman" w:eastAsia="宋体" w:cs="Times New Roman"/>
          <w:sz w:val="24"/>
          <w:szCs w:val="24"/>
          <w:highlight w:val="none"/>
        </w:rPr>
        <w:t>年12月）；</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）《国务院关于实行最严格水资源管理制度的意见》（国发[2012]3</w:t>
      </w:r>
      <w:r>
        <w:rPr>
          <w:rFonts w:hint="default" w:ascii="Times New Roman" w:hAnsi="Times New Roman" w:eastAsia="宋体" w:cs="Times New Roman"/>
          <w:spacing w:val="-3"/>
          <w:sz w:val="24"/>
          <w:szCs w:val="24"/>
          <w:highlight w:val="none"/>
        </w:rPr>
        <w:t>号，2012</w:t>
      </w:r>
      <w:r>
        <w:rPr>
          <w:rFonts w:hint="default" w:ascii="Times New Roman" w:hAnsi="Times New Roman" w:eastAsia="宋体" w:cs="Times New Roman"/>
          <w:sz w:val="24"/>
          <w:szCs w:val="24"/>
          <w:highlight w:val="none"/>
        </w:rPr>
        <w:t>年1月）；</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）《国务院办公厅关于印发实行最严格水资源管理制度考核办法的通知》（国办发[2013]2号，2013年1月）；</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eastAsia" w:ascii="宋体" w:hAnsi="宋体" w:eastAsia="宋体" w:cs="宋体"/>
          <w:spacing w:val="7"/>
          <w:sz w:val="24"/>
          <w:szCs w:val="24"/>
          <w:u w:val="none" w:color="auto"/>
          <w:lang w:val="en-US" w:eastAsia="zh-CN"/>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w:t>
      </w:r>
      <w:r>
        <w:rPr>
          <w:rFonts w:hint="eastAsia" w:ascii="宋体" w:hAnsi="宋体" w:eastAsia="宋体" w:cs="宋体"/>
          <w:spacing w:val="7"/>
          <w:sz w:val="24"/>
          <w:szCs w:val="24"/>
          <w:u w:val="none" w:color="auto"/>
          <w:lang w:val="en-US" w:eastAsia="zh-CN"/>
        </w:rPr>
        <w:t>《潼关县桐峪镇污水处理站及配套管网工程项目环境影响报告表》</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eastAsia" w:ascii="宋体" w:hAnsi="宋体" w:eastAsia="宋体" w:cs="宋体"/>
          <w:spacing w:val="7"/>
          <w:sz w:val="24"/>
          <w:szCs w:val="24"/>
          <w:u w:val="none" w:color="auto"/>
          <w:lang w:val="en-US" w:eastAsia="zh-CN"/>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eastAsia" w:ascii="宋体" w:hAnsi="宋体" w:eastAsia="宋体" w:cs="宋体"/>
          <w:spacing w:val="7"/>
          <w:sz w:val="24"/>
          <w:szCs w:val="24"/>
          <w:u w:val="none" w:color="auto"/>
          <w:lang w:val="en-US" w:eastAsia="zh-CN"/>
        </w:rPr>
        <w:t>《关于潼关县桐峪镇污水处理站及配套管网工程项目环境影响报告表的批复》（渭环潼发[2020]103号）</w:t>
      </w:r>
    </w:p>
    <w:p>
      <w:pPr>
        <w:keepNext/>
        <w:keepLines/>
        <w:pageBreakBefore w:val="0"/>
        <w:widowControl w:val="0"/>
        <w:kinsoku/>
        <w:wordWrap/>
        <w:overflowPunct/>
        <w:topLinePunct w:val="0"/>
        <w:autoSpaceDE/>
        <w:autoSpaceDN/>
        <w:bidi w:val="0"/>
        <w:adjustRightInd/>
        <w:snapToGrid/>
        <w:spacing w:before="31" w:beforeLines="10" w:after="31" w:afterLines="10" w:line="520" w:lineRule="exact"/>
        <w:textAlignment w:val="auto"/>
        <w:outlineLvl w:val="1"/>
        <w:rPr>
          <w:rFonts w:hint="default" w:ascii="Times New Roman" w:hAnsi="Times New Roman" w:eastAsia="宋体" w:cs="Times New Roman"/>
          <w:b/>
          <w:bCs/>
          <w:sz w:val="28"/>
          <w:szCs w:val="28"/>
          <w:highlight w:val="none"/>
        </w:rPr>
      </w:pPr>
      <w:bookmarkStart w:id="41" w:name="_Toc19730"/>
      <w:bookmarkStart w:id="42" w:name="_Toc13450"/>
      <w:r>
        <w:rPr>
          <w:rFonts w:hint="default" w:ascii="Times New Roman" w:hAnsi="Times New Roman" w:eastAsia="宋体" w:cs="Times New Roman"/>
          <w:b/>
          <w:bCs/>
          <w:sz w:val="28"/>
          <w:szCs w:val="28"/>
          <w:highlight w:val="none"/>
        </w:rPr>
        <w:t>1.3</w:t>
      </w:r>
      <w:r>
        <w:rPr>
          <w:rFonts w:hint="eastAsia" w:ascii="Times New Roman" w:hAnsi="Times New Roman" w:eastAsia="宋体" w:cs="Times New Roman"/>
          <w:b/>
          <w:bCs/>
          <w:sz w:val="28"/>
          <w:szCs w:val="28"/>
          <w:highlight w:val="none"/>
          <w:lang w:val="en-US" w:eastAsia="zh-CN"/>
        </w:rPr>
        <w:t>分析</w:t>
      </w:r>
      <w:r>
        <w:rPr>
          <w:rFonts w:hint="default" w:ascii="Times New Roman" w:hAnsi="Times New Roman" w:eastAsia="宋体" w:cs="Times New Roman"/>
          <w:b/>
          <w:bCs/>
          <w:sz w:val="28"/>
          <w:szCs w:val="28"/>
          <w:highlight w:val="none"/>
        </w:rPr>
        <w:t>范围</w:t>
      </w:r>
      <w:bookmarkEnd w:id="41"/>
      <w:bookmarkEnd w:id="42"/>
    </w:p>
    <w:p>
      <w:pPr>
        <w:keepNext w:val="0"/>
        <w:keepLines w:val="0"/>
        <w:pageBreakBefore w:val="0"/>
        <w:widowControl w:val="0"/>
        <w:kinsoku/>
        <w:wordWrap/>
        <w:overflowPunct/>
        <w:topLinePunct w:val="0"/>
        <w:autoSpaceDE/>
        <w:autoSpaceDN/>
        <w:bidi w:val="0"/>
        <w:adjustRightInd/>
        <w:snapToGrid/>
        <w:spacing w:line="520" w:lineRule="exact"/>
        <w:ind w:firstLine="508" w:firstLineChars="200"/>
        <w:textAlignment w:val="auto"/>
        <w:rPr>
          <w:rFonts w:hint="default" w:ascii="宋体" w:hAnsi="宋体" w:eastAsia="宋体" w:cs="宋体"/>
          <w:spacing w:val="7"/>
          <w:kern w:val="2"/>
          <w:sz w:val="24"/>
          <w:szCs w:val="24"/>
          <w:u w:val="none" w:color="auto"/>
          <w:lang w:val="en-US" w:eastAsia="zh-CN" w:bidi="ar-SA"/>
        </w:rPr>
      </w:pPr>
      <w:bookmarkStart w:id="43" w:name="_Toc430761700"/>
      <w:r>
        <w:rPr>
          <w:rFonts w:hint="default" w:ascii="宋体" w:hAnsi="宋体" w:eastAsia="宋体" w:cs="宋体"/>
          <w:spacing w:val="7"/>
          <w:kern w:val="2"/>
          <w:sz w:val="24"/>
          <w:szCs w:val="24"/>
          <w:u w:val="none" w:color="auto"/>
          <w:lang w:val="en-US" w:eastAsia="zh-CN" w:bidi="ar-SA"/>
        </w:rPr>
        <w:t>按照《入河排污口管理技术导则》（SL532-2011）要求</w:t>
      </w:r>
      <w:r>
        <w:rPr>
          <w:rFonts w:hint="eastAsia" w:ascii="宋体" w:hAnsi="宋体" w:eastAsia="宋体" w:cs="宋体"/>
          <w:spacing w:val="7"/>
          <w:kern w:val="2"/>
          <w:sz w:val="24"/>
          <w:szCs w:val="24"/>
          <w:u w:val="none" w:color="auto"/>
          <w:lang w:val="en-US" w:eastAsia="zh-CN" w:bidi="ar-SA"/>
        </w:rPr>
        <w:t>，“</w:t>
      </w:r>
      <w:r>
        <w:rPr>
          <w:rFonts w:hint="default" w:ascii="宋体" w:hAnsi="宋体" w:eastAsia="宋体" w:cs="宋体"/>
          <w:spacing w:val="7"/>
          <w:kern w:val="2"/>
          <w:sz w:val="24"/>
          <w:szCs w:val="24"/>
          <w:u w:val="none" w:color="auto"/>
          <w:lang w:val="en-US" w:eastAsia="zh-CN" w:bidi="ar-SA"/>
        </w:rPr>
        <w:t>入河排污口设置论证范围应根据其影响范围和程度确定。受入河排污口设置影响的主要水域和其影响范围内的第三方取、用水户原则上应纳入论证范围。对地表水的影响论证以水功能区为基础单元，论证重点区域为入河排污口所在水功能区和可能受到影响的周边水功能区；涉及鱼类产卵场等生态敏感点，论证范围可不限于上述水功能区。”</w:t>
      </w:r>
    </w:p>
    <w:p>
      <w:pPr>
        <w:keepNext w:val="0"/>
        <w:keepLines w:val="0"/>
        <w:pageBreakBefore w:val="0"/>
        <w:widowControl w:val="0"/>
        <w:kinsoku/>
        <w:wordWrap/>
        <w:overflowPunct/>
        <w:topLinePunct w:val="0"/>
        <w:autoSpaceDE/>
        <w:autoSpaceDN/>
        <w:bidi w:val="0"/>
        <w:adjustRightInd/>
        <w:snapToGrid/>
        <w:spacing w:line="520" w:lineRule="exact"/>
        <w:ind w:firstLine="508" w:firstLineChars="200"/>
        <w:textAlignment w:val="auto"/>
        <w:rPr>
          <w:rFonts w:hint="default" w:ascii="宋体" w:hAnsi="宋体" w:eastAsia="宋体" w:cs="宋体"/>
          <w:spacing w:val="7"/>
          <w:kern w:val="2"/>
          <w:sz w:val="24"/>
          <w:szCs w:val="24"/>
          <w:u w:val="none" w:color="auto"/>
          <w:lang w:val="en-US" w:eastAsia="zh-CN" w:bidi="ar-SA"/>
        </w:rPr>
      </w:pPr>
      <w:r>
        <w:rPr>
          <w:rFonts w:hint="default" w:ascii="宋体" w:hAnsi="宋体" w:eastAsia="宋体" w:cs="宋体"/>
          <w:spacing w:val="7"/>
          <w:kern w:val="2"/>
          <w:sz w:val="24"/>
          <w:szCs w:val="24"/>
          <w:u w:val="none" w:color="auto"/>
          <w:lang w:val="en-US" w:eastAsia="zh-CN" w:bidi="ar-SA"/>
        </w:rPr>
        <w:t>据此要求，我单位于20</w:t>
      </w:r>
      <w:r>
        <w:rPr>
          <w:rFonts w:hint="eastAsia" w:ascii="宋体" w:hAnsi="宋体" w:eastAsia="宋体" w:cs="宋体"/>
          <w:spacing w:val="7"/>
          <w:kern w:val="2"/>
          <w:sz w:val="24"/>
          <w:szCs w:val="24"/>
          <w:u w:val="none" w:color="auto"/>
          <w:lang w:val="en-US" w:eastAsia="zh-CN" w:bidi="ar-SA"/>
        </w:rPr>
        <w:t>24</w:t>
      </w:r>
      <w:r>
        <w:rPr>
          <w:rFonts w:hint="default" w:ascii="宋体" w:hAnsi="宋体" w:eastAsia="宋体" w:cs="宋体"/>
          <w:spacing w:val="7"/>
          <w:kern w:val="2"/>
          <w:sz w:val="24"/>
          <w:szCs w:val="24"/>
          <w:u w:val="none" w:color="auto"/>
          <w:lang w:val="en-US" w:eastAsia="zh-CN" w:bidi="ar-SA"/>
        </w:rPr>
        <w:t>年</w:t>
      </w:r>
      <w:r>
        <w:rPr>
          <w:rFonts w:hint="eastAsia" w:ascii="宋体" w:hAnsi="宋体" w:eastAsia="宋体" w:cs="宋体"/>
          <w:spacing w:val="7"/>
          <w:kern w:val="2"/>
          <w:sz w:val="24"/>
          <w:szCs w:val="24"/>
          <w:u w:val="none" w:color="auto"/>
          <w:lang w:val="en-US" w:eastAsia="zh-CN" w:bidi="ar-SA"/>
        </w:rPr>
        <w:t>5</w:t>
      </w:r>
      <w:r>
        <w:rPr>
          <w:rFonts w:hint="default" w:ascii="宋体" w:hAnsi="宋体" w:eastAsia="宋体" w:cs="宋体"/>
          <w:spacing w:val="7"/>
          <w:kern w:val="2"/>
          <w:sz w:val="24"/>
          <w:szCs w:val="24"/>
          <w:u w:val="none" w:color="auto"/>
          <w:lang w:val="en-US" w:eastAsia="zh-CN" w:bidi="ar-SA"/>
        </w:rPr>
        <w:t>月对项目设置区域及排污口设置段进行了现场踏勘。</w:t>
      </w:r>
      <w:bookmarkEnd w:id="43"/>
      <w:bookmarkStart w:id="44" w:name="_Toc430761701"/>
      <w:r>
        <w:rPr>
          <w:rFonts w:hint="eastAsia" w:ascii="宋体" w:hAnsi="宋体" w:eastAsia="宋体" w:cs="宋体"/>
          <w:spacing w:val="7"/>
          <w:kern w:val="2"/>
          <w:sz w:val="24"/>
          <w:szCs w:val="24"/>
          <w:u w:val="none" w:color="auto"/>
          <w:lang w:val="en-US" w:eastAsia="zh-CN" w:bidi="ar-SA"/>
        </w:rPr>
        <w:t>依据</w:t>
      </w:r>
      <w:r>
        <w:rPr>
          <w:rFonts w:hint="default" w:ascii="宋体" w:hAnsi="宋体" w:eastAsia="宋体" w:cs="宋体"/>
          <w:spacing w:val="7"/>
          <w:kern w:val="2"/>
          <w:sz w:val="24"/>
          <w:szCs w:val="24"/>
          <w:u w:val="none" w:color="auto"/>
          <w:lang w:val="en-US" w:eastAsia="zh-CN" w:bidi="ar-SA"/>
        </w:rPr>
        <w:t>《陕西省水功能区划》（2004年），</w:t>
      </w:r>
      <w:r>
        <w:rPr>
          <w:rFonts w:hint="eastAsia" w:ascii="宋体" w:hAnsi="宋体" w:eastAsia="宋体" w:cs="宋体"/>
          <w:spacing w:val="7"/>
          <w:kern w:val="2"/>
          <w:sz w:val="24"/>
          <w:szCs w:val="24"/>
          <w:u w:val="none" w:color="auto"/>
          <w:lang w:val="en-US" w:eastAsia="zh-CN" w:bidi="ar-SA"/>
        </w:rPr>
        <w:t>双桥河流域</w:t>
      </w:r>
      <w:r>
        <w:rPr>
          <w:rFonts w:hint="default" w:ascii="宋体" w:hAnsi="宋体" w:eastAsia="宋体" w:cs="宋体"/>
          <w:spacing w:val="7"/>
          <w:kern w:val="2"/>
          <w:sz w:val="24"/>
          <w:szCs w:val="24"/>
          <w:u w:val="none" w:color="auto"/>
          <w:lang w:val="en-US" w:eastAsia="zh-CN" w:bidi="ar-SA"/>
        </w:rPr>
        <w:t>水功能区为Ⅳ</w:t>
      </w:r>
      <w:r>
        <w:rPr>
          <w:rFonts w:hint="eastAsia" w:ascii="宋体" w:hAnsi="宋体" w:eastAsia="宋体" w:cs="宋体"/>
          <w:spacing w:val="7"/>
          <w:kern w:val="2"/>
          <w:sz w:val="24"/>
          <w:szCs w:val="24"/>
          <w:u w:val="none" w:color="auto"/>
          <w:lang w:val="en-US" w:eastAsia="zh-CN" w:bidi="ar-SA"/>
        </w:rPr>
        <w:t>缓冲</w:t>
      </w:r>
      <w:r>
        <w:rPr>
          <w:rFonts w:hint="default" w:ascii="宋体" w:hAnsi="宋体" w:eastAsia="宋体" w:cs="宋体"/>
          <w:spacing w:val="7"/>
          <w:kern w:val="2"/>
          <w:sz w:val="24"/>
          <w:szCs w:val="24"/>
          <w:u w:val="none" w:color="auto"/>
          <w:lang w:val="en-US" w:eastAsia="zh-CN" w:bidi="ar-SA"/>
        </w:rPr>
        <w:t>区，水质目标为</w:t>
      </w:r>
      <w:r>
        <w:rPr>
          <w:rFonts w:hint="eastAsia" w:ascii="宋体" w:hAnsi="宋体" w:eastAsia="宋体" w:cs="宋体"/>
          <w:spacing w:val="7"/>
          <w:kern w:val="2"/>
          <w:sz w:val="24"/>
          <w:szCs w:val="24"/>
          <w:u w:val="none" w:color="auto"/>
          <w:lang w:val="en-US" w:eastAsia="zh-CN" w:bidi="ar-SA"/>
        </w:rPr>
        <w:t>Ⅲ类</w:t>
      </w:r>
      <w:r>
        <w:rPr>
          <w:rFonts w:hint="default" w:ascii="宋体" w:hAnsi="宋体" w:eastAsia="宋体" w:cs="宋体"/>
          <w:spacing w:val="7"/>
          <w:kern w:val="2"/>
          <w:sz w:val="24"/>
          <w:szCs w:val="24"/>
          <w:u w:val="none" w:color="auto"/>
          <w:lang w:val="en-US" w:eastAsia="zh-CN" w:bidi="ar-SA"/>
        </w:rPr>
        <w:t>标准。</w:t>
      </w:r>
      <w:bookmarkEnd w:id="44"/>
      <w:r>
        <w:rPr>
          <w:rFonts w:hint="eastAsia" w:ascii="宋体" w:hAnsi="宋体" w:eastAsia="宋体" w:cs="宋体"/>
          <w:spacing w:val="7"/>
          <w:kern w:val="2"/>
          <w:sz w:val="24"/>
          <w:szCs w:val="24"/>
          <w:u w:val="none" w:color="auto"/>
          <w:lang w:val="en-US" w:eastAsia="zh-CN" w:bidi="ar-SA"/>
        </w:rPr>
        <w:t>详见附图1《渭河渭南市段及伊洛河水系水功能区划图》。</w:t>
      </w:r>
    </w:p>
    <w:p>
      <w:pPr>
        <w:keepNext w:val="0"/>
        <w:keepLines w:val="0"/>
        <w:pageBreakBefore w:val="0"/>
        <w:widowControl w:val="0"/>
        <w:kinsoku/>
        <w:wordWrap/>
        <w:overflowPunct/>
        <w:topLinePunct w:val="0"/>
        <w:autoSpaceDE/>
        <w:autoSpaceDN/>
        <w:bidi w:val="0"/>
        <w:adjustRightInd/>
        <w:snapToGrid/>
        <w:spacing w:line="520" w:lineRule="exact"/>
        <w:ind w:firstLine="508" w:firstLineChars="200"/>
        <w:textAlignment w:val="auto"/>
        <w:rPr>
          <w:rFonts w:hint="default" w:ascii="宋体" w:hAnsi="宋体" w:eastAsia="宋体" w:cs="宋体"/>
          <w:spacing w:val="7"/>
          <w:kern w:val="2"/>
          <w:sz w:val="24"/>
          <w:szCs w:val="24"/>
          <w:u w:val="none" w:color="auto"/>
          <w:lang w:val="en-US" w:eastAsia="zh-CN" w:bidi="ar-SA"/>
        </w:rPr>
      </w:pPr>
      <w:bookmarkStart w:id="45" w:name="_Toc430761702"/>
      <w:r>
        <w:rPr>
          <w:rFonts w:hint="default" w:ascii="宋体" w:hAnsi="宋体" w:eastAsia="宋体" w:cs="宋体"/>
          <w:spacing w:val="7"/>
          <w:kern w:val="2"/>
          <w:sz w:val="24"/>
          <w:szCs w:val="24"/>
          <w:u w:val="none" w:color="auto"/>
          <w:lang w:val="en-US" w:eastAsia="zh-CN" w:bidi="ar-SA"/>
        </w:rPr>
        <w:t>本项目排污口设置位于</w:t>
      </w:r>
      <w:r>
        <w:rPr>
          <w:rFonts w:hint="eastAsia" w:ascii="宋体" w:hAnsi="宋体" w:eastAsia="宋体" w:cs="宋体"/>
          <w:spacing w:val="7"/>
          <w:kern w:val="2"/>
          <w:sz w:val="24"/>
          <w:szCs w:val="24"/>
          <w:u w:val="none" w:color="auto"/>
          <w:lang w:val="en-US" w:eastAsia="zh-CN" w:bidi="ar-SA"/>
        </w:rPr>
        <w:t>桐峪河西</w:t>
      </w:r>
      <w:r>
        <w:rPr>
          <w:rFonts w:hint="default" w:ascii="宋体" w:hAnsi="宋体" w:eastAsia="宋体" w:cs="宋体"/>
          <w:spacing w:val="7"/>
          <w:kern w:val="2"/>
          <w:sz w:val="24"/>
          <w:szCs w:val="24"/>
          <w:u w:val="none" w:color="auto"/>
          <w:lang w:val="en-US" w:eastAsia="zh-CN" w:bidi="ar-SA"/>
        </w:rPr>
        <w:t>岸，距离</w:t>
      </w:r>
      <w:r>
        <w:rPr>
          <w:rFonts w:hint="eastAsia" w:ascii="宋体" w:hAnsi="宋体" w:eastAsia="宋体" w:cs="宋体"/>
          <w:spacing w:val="7"/>
          <w:kern w:val="2"/>
          <w:sz w:val="24"/>
          <w:szCs w:val="24"/>
          <w:u w:val="none" w:color="auto"/>
          <w:lang w:val="en-US" w:eastAsia="zh-CN" w:bidi="ar-SA"/>
        </w:rPr>
        <w:t>双桥河2.5</w:t>
      </w:r>
      <w:r>
        <w:rPr>
          <w:rFonts w:hint="default" w:ascii="宋体" w:hAnsi="宋体" w:eastAsia="宋体" w:cs="宋体"/>
          <w:spacing w:val="7"/>
          <w:kern w:val="2"/>
          <w:sz w:val="24"/>
          <w:szCs w:val="24"/>
          <w:u w:val="none" w:color="auto"/>
          <w:lang w:val="en-US" w:eastAsia="zh-CN" w:bidi="ar-SA"/>
        </w:rPr>
        <w:t>km。经现场踏勘调查、收集资料分析，排污影响的水域范围局限在本功能区，该功能区段无第三方取</w:t>
      </w:r>
      <w:r>
        <w:rPr>
          <w:rFonts w:hint="eastAsia" w:ascii="宋体" w:hAnsi="宋体" w:eastAsia="宋体" w:cs="宋体"/>
          <w:spacing w:val="7"/>
          <w:kern w:val="2"/>
          <w:sz w:val="24"/>
          <w:szCs w:val="24"/>
          <w:u w:val="none" w:color="auto"/>
          <w:lang w:val="en-US" w:eastAsia="zh-CN" w:bidi="ar-SA"/>
        </w:rPr>
        <w:t>、排</w:t>
      </w:r>
      <w:r>
        <w:rPr>
          <w:rFonts w:hint="default" w:ascii="宋体" w:hAnsi="宋体" w:eastAsia="宋体" w:cs="宋体"/>
          <w:spacing w:val="7"/>
          <w:kern w:val="2"/>
          <w:sz w:val="24"/>
          <w:szCs w:val="24"/>
          <w:u w:val="none" w:color="auto"/>
          <w:lang w:val="en-US" w:eastAsia="zh-CN" w:bidi="ar-SA"/>
        </w:rPr>
        <w:t>水用户，没有涉及鱼类产卵场等生态敏感点。因此确定</w:t>
      </w:r>
      <w:r>
        <w:rPr>
          <w:rFonts w:hint="eastAsia" w:ascii="宋体" w:hAnsi="宋体" w:eastAsia="宋体" w:cs="宋体"/>
          <w:spacing w:val="7"/>
          <w:kern w:val="2"/>
          <w:sz w:val="24"/>
          <w:szCs w:val="24"/>
          <w:u w:val="none" w:color="auto"/>
          <w:lang w:val="en-US" w:eastAsia="zh-CN" w:bidi="ar-SA"/>
        </w:rPr>
        <w:t>桐峪河至双桥河</w:t>
      </w:r>
      <w:r>
        <w:rPr>
          <w:rFonts w:hint="default" w:ascii="宋体" w:hAnsi="宋体" w:eastAsia="宋体" w:cs="宋体"/>
          <w:spacing w:val="7"/>
          <w:kern w:val="2"/>
          <w:sz w:val="24"/>
          <w:szCs w:val="24"/>
          <w:u w:val="none" w:color="auto"/>
          <w:lang w:val="en-US" w:eastAsia="zh-CN" w:bidi="ar-SA"/>
        </w:rPr>
        <w:t>段为项目排污口</w:t>
      </w:r>
      <w:r>
        <w:rPr>
          <w:rFonts w:hint="eastAsia" w:ascii="宋体" w:hAnsi="宋体" w:eastAsia="宋体" w:cs="宋体"/>
          <w:spacing w:val="7"/>
          <w:kern w:val="2"/>
          <w:sz w:val="24"/>
          <w:szCs w:val="24"/>
          <w:u w:val="none" w:color="auto"/>
          <w:lang w:val="en-US" w:eastAsia="zh-CN" w:bidi="ar-SA"/>
        </w:rPr>
        <w:t>分析论证</w:t>
      </w:r>
      <w:r>
        <w:rPr>
          <w:rFonts w:hint="default" w:ascii="宋体" w:hAnsi="宋体" w:eastAsia="宋体" w:cs="宋体"/>
          <w:spacing w:val="7"/>
          <w:kern w:val="2"/>
          <w:sz w:val="24"/>
          <w:szCs w:val="24"/>
          <w:u w:val="none" w:color="auto"/>
          <w:lang w:val="en-US" w:eastAsia="zh-CN" w:bidi="ar-SA"/>
        </w:rPr>
        <w:t>范围。</w:t>
      </w:r>
      <w:bookmarkEnd w:id="45"/>
    </w:p>
    <w:p>
      <w:pPr>
        <w:keepNext/>
        <w:keepLines/>
        <w:pageBreakBefore w:val="0"/>
        <w:widowControl w:val="0"/>
        <w:kinsoku/>
        <w:wordWrap/>
        <w:overflowPunct/>
        <w:topLinePunct w:val="0"/>
        <w:autoSpaceDE/>
        <w:autoSpaceDN/>
        <w:bidi w:val="0"/>
        <w:adjustRightInd/>
        <w:snapToGrid/>
        <w:spacing w:before="31" w:beforeLines="10" w:after="31" w:afterLines="10" w:line="520" w:lineRule="exact"/>
        <w:textAlignment w:val="auto"/>
        <w:outlineLvl w:val="1"/>
        <w:rPr>
          <w:rFonts w:hint="default" w:ascii="Times New Roman" w:hAnsi="Times New Roman" w:eastAsia="宋体" w:cs="Times New Roman"/>
          <w:b/>
          <w:bCs/>
          <w:sz w:val="28"/>
          <w:szCs w:val="28"/>
          <w:highlight w:val="none"/>
        </w:rPr>
      </w:pPr>
      <w:bookmarkStart w:id="46" w:name="_Toc32538"/>
      <w:bookmarkStart w:id="47" w:name="_Toc20700"/>
      <w:r>
        <w:rPr>
          <w:rFonts w:hint="default" w:ascii="Times New Roman" w:hAnsi="Times New Roman" w:eastAsia="宋体" w:cs="Times New Roman"/>
          <w:b/>
          <w:bCs/>
          <w:sz w:val="28"/>
          <w:szCs w:val="28"/>
          <w:highlight w:val="none"/>
        </w:rPr>
        <w:t>1.4</w:t>
      </w:r>
      <w:r>
        <w:rPr>
          <w:rFonts w:hint="eastAsia" w:ascii="Times New Roman" w:hAnsi="Times New Roman" w:eastAsia="宋体" w:cs="Times New Roman"/>
          <w:b/>
          <w:bCs/>
          <w:sz w:val="28"/>
          <w:szCs w:val="28"/>
          <w:highlight w:val="none"/>
          <w:lang w:val="en-US" w:eastAsia="zh-CN"/>
        </w:rPr>
        <w:t>分析论证</w:t>
      </w:r>
      <w:r>
        <w:rPr>
          <w:rFonts w:hint="default" w:ascii="Times New Roman" w:hAnsi="Times New Roman" w:eastAsia="宋体" w:cs="Times New Roman"/>
          <w:b/>
          <w:bCs/>
          <w:sz w:val="28"/>
          <w:szCs w:val="28"/>
          <w:highlight w:val="none"/>
        </w:rPr>
        <w:t>工作程序</w:t>
      </w:r>
      <w:bookmarkEnd w:id="46"/>
      <w:bookmarkEnd w:id="47"/>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0"/>
          <w:highlight w:val="none"/>
        </w:rPr>
      </w:pPr>
      <w:bookmarkStart w:id="48" w:name="_Toc430761739"/>
      <w:r>
        <w:rPr>
          <w:rFonts w:hint="default" w:ascii="Times New Roman" w:hAnsi="Times New Roman" w:eastAsia="宋体" w:cs="Times New Roman"/>
          <w:sz w:val="24"/>
          <w:szCs w:val="20"/>
          <w:highlight w:val="none"/>
        </w:rPr>
        <w:t>根据项目特点确定本项目论证工作程序：在现场查勘、调查和收集建设项目及相关区域基本资料和监测</w:t>
      </w:r>
      <w:r>
        <w:rPr>
          <w:rFonts w:hint="default" w:ascii="Times New Roman" w:hAnsi="Times New Roman" w:eastAsia="宋体" w:cs="Times New Roman"/>
          <w:sz w:val="24"/>
          <w:szCs w:val="20"/>
          <w:highlight w:val="none"/>
          <w:lang w:eastAsia="zh-CN"/>
        </w:rPr>
        <w:t>报告</w:t>
      </w:r>
      <w:r>
        <w:rPr>
          <w:rFonts w:hint="default" w:ascii="Times New Roman" w:hAnsi="Times New Roman" w:eastAsia="宋体" w:cs="Times New Roman"/>
          <w:sz w:val="24"/>
          <w:szCs w:val="20"/>
          <w:highlight w:val="none"/>
        </w:rPr>
        <w:t>的基础上，充分考虑入河排污口设置</w:t>
      </w:r>
      <w:r>
        <w:rPr>
          <w:rFonts w:hint="default" w:ascii="Times New Roman" w:hAnsi="Times New Roman" w:eastAsia="宋体" w:cs="Times New Roman"/>
          <w:sz w:val="24"/>
          <w:szCs w:val="20"/>
          <w:highlight w:val="none"/>
          <w:lang w:eastAsia="zh-CN"/>
        </w:rPr>
        <w:t>段</w:t>
      </w:r>
      <w:r>
        <w:rPr>
          <w:rFonts w:hint="default" w:ascii="Times New Roman" w:hAnsi="Times New Roman" w:eastAsia="宋体" w:cs="Times New Roman"/>
          <w:sz w:val="24"/>
          <w:szCs w:val="20"/>
          <w:highlight w:val="none"/>
        </w:rPr>
        <w:t>现有情况，采用常规资料收集及</w:t>
      </w:r>
      <w:r>
        <w:rPr>
          <w:rFonts w:hint="eastAsia" w:ascii="Times New Roman" w:hAnsi="Times New Roman" w:eastAsia="宋体" w:cs="Times New Roman"/>
          <w:sz w:val="24"/>
          <w:szCs w:val="20"/>
          <w:highlight w:val="none"/>
          <w:lang w:val="en-US" w:eastAsia="zh-CN"/>
        </w:rPr>
        <w:t>下游水质</w:t>
      </w:r>
      <w:r>
        <w:rPr>
          <w:rFonts w:hint="default" w:ascii="Times New Roman" w:hAnsi="Times New Roman" w:eastAsia="宋体" w:cs="Times New Roman"/>
          <w:sz w:val="24"/>
          <w:szCs w:val="20"/>
          <w:highlight w:val="none"/>
        </w:rPr>
        <w:t>监测的方法</w:t>
      </w:r>
      <w:r>
        <w:rPr>
          <w:rFonts w:hint="eastAsia" w:ascii="Times New Roman" w:hAnsi="Times New Roman" w:eastAsia="宋体" w:cs="Times New Roman"/>
          <w:sz w:val="24"/>
          <w:szCs w:val="20"/>
          <w:highlight w:val="none"/>
          <w:lang w:val="en-US" w:eastAsia="zh-CN"/>
        </w:rPr>
        <w:t>进行分析</w:t>
      </w:r>
      <w:r>
        <w:rPr>
          <w:rFonts w:hint="default" w:ascii="Times New Roman" w:hAnsi="Times New Roman" w:eastAsia="宋体" w:cs="Times New Roman"/>
          <w:sz w:val="24"/>
          <w:szCs w:val="20"/>
          <w:highlight w:val="none"/>
        </w:rPr>
        <w:t>，判断</w:t>
      </w:r>
      <w:r>
        <w:rPr>
          <w:rFonts w:hint="eastAsia" w:ascii="Times New Roman" w:hAnsi="Times New Roman" w:eastAsia="宋体" w:cs="Times New Roman"/>
          <w:sz w:val="24"/>
          <w:szCs w:val="20"/>
          <w:highlight w:val="none"/>
          <w:lang w:val="en-US" w:eastAsia="zh-CN"/>
        </w:rPr>
        <w:t>本项目区域内居民生活污水在自然排放的情况下与进入本项目进行处理后的情况下对周围自然环境及功能区水质分别造成的影响进行分析，分析</w:t>
      </w:r>
      <w:r>
        <w:rPr>
          <w:rFonts w:hint="default" w:ascii="Times New Roman" w:hAnsi="Times New Roman" w:eastAsia="宋体" w:cs="Times New Roman"/>
          <w:sz w:val="24"/>
          <w:szCs w:val="20"/>
          <w:highlight w:val="none"/>
        </w:rPr>
        <w:t>论证入河排污口设置的合理性，提出设置入河排污口的建议。工作程序见图1.4-1。</w:t>
      </w:r>
      <w:bookmarkEnd w:id="48"/>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sz w:val="28"/>
          <w:szCs w:val="28"/>
          <w:highlight w:val="none"/>
        </w:rPr>
      </w:pPr>
      <w:bookmarkStart w:id="49" w:name="_Toc11196"/>
      <w:bookmarkStart w:id="50" w:name="_Toc19283"/>
      <w:r>
        <w:rPr>
          <w:rFonts w:hint="default" w:ascii="Times New Roman" w:hAnsi="Times New Roman" w:eastAsia="宋体" w:cs="Times New Roman"/>
          <w:b/>
          <w:bCs/>
          <w:sz w:val="28"/>
          <w:szCs w:val="28"/>
          <w:highlight w:val="none"/>
        </w:rPr>
        <w:t>1.5</w:t>
      </w:r>
      <w:r>
        <w:rPr>
          <w:rFonts w:hint="eastAsia" w:ascii="Times New Roman" w:hAnsi="Times New Roman" w:eastAsia="宋体" w:cs="Times New Roman"/>
          <w:b/>
          <w:bCs/>
          <w:sz w:val="28"/>
          <w:szCs w:val="28"/>
          <w:highlight w:val="none"/>
          <w:lang w:val="en-US" w:eastAsia="zh-CN"/>
        </w:rPr>
        <w:t>分析</w:t>
      </w:r>
      <w:r>
        <w:rPr>
          <w:rFonts w:hint="default" w:ascii="Times New Roman" w:hAnsi="Times New Roman" w:eastAsia="宋体" w:cs="Times New Roman"/>
          <w:b/>
          <w:bCs/>
          <w:sz w:val="28"/>
          <w:szCs w:val="28"/>
          <w:highlight w:val="none"/>
        </w:rPr>
        <w:t>论证的主要内容</w:t>
      </w:r>
      <w:bookmarkEnd w:id="49"/>
      <w:bookmarkEnd w:id="50"/>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72" w:firstLineChars="200"/>
        <w:jc w:val="left"/>
        <w:textAlignment w:val="auto"/>
        <w:rPr>
          <w:rFonts w:hint="default" w:ascii="Times New Roman" w:hAnsi="Times New Roman" w:eastAsia="宋体" w:cs="Times New Roman"/>
          <w:spacing w:val="-2"/>
          <w:sz w:val="24"/>
          <w:szCs w:val="24"/>
          <w:highlight w:val="none"/>
          <w:lang w:val="en-US" w:eastAsia="zh-CN"/>
        </w:rPr>
      </w:pPr>
      <w:bookmarkStart w:id="51" w:name="_Toc430761746"/>
      <w:bookmarkEnd w:id="51"/>
      <w:r>
        <w:rPr>
          <w:rFonts w:hint="default" w:ascii="Times New Roman" w:hAnsi="Times New Roman" w:eastAsia="宋体" w:cs="Times New Roman"/>
          <w:spacing w:val="-2"/>
          <w:sz w:val="24"/>
          <w:szCs w:val="24"/>
          <w:highlight w:val="none"/>
        </w:rPr>
        <w:t>按照《</w:t>
      </w:r>
      <w:r>
        <w:rPr>
          <w:rFonts w:hint="default" w:ascii="Times New Roman" w:hAnsi="Times New Roman" w:eastAsia="宋体" w:cs="Times New Roman"/>
          <w:spacing w:val="-2"/>
          <w:kern w:val="2"/>
          <w:sz w:val="24"/>
          <w:szCs w:val="24"/>
          <w:highlight w:val="none"/>
          <w:lang w:val="en-US" w:eastAsia="zh-CN" w:bidi="ar-SA"/>
        </w:rPr>
        <w:t>入河排污口监督管理技术指南设置审核</w:t>
      </w:r>
      <w:r>
        <w:rPr>
          <w:rFonts w:hint="default" w:ascii="Times New Roman" w:hAnsi="Times New Roman" w:eastAsia="宋体" w:cs="Times New Roman"/>
          <w:spacing w:val="-2"/>
          <w:sz w:val="24"/>
          <w:szCs w:val="24"/>
          <w:highlight w:val="none"/>
        </w:rPr>
        <w:t>》（</w:t>
      </w:r>
      <w:r>
        <w:rPr>
          <w:rFonts w:hint="eastAsia" w:ascii="Times New Roman" w:hAnsi="Times New Roman" w:eastAsia="宋体" w:cs="Times New Roman"/>
          <w:spacing w:val="-2"/>
          <w:sz w:val="24"/>
          <w:szCs w:val="24"/>
          <w:highlight w:val="none"/>
          <w:lang w:val="en-US" w:eastAsia="zh-CN"/>
        </w:rPr>
        <w:t>征求意见稿</w:t>
      </w:r>
      <w:r>
        <w:rPr>
          <w:rFonts w:hint="default" w:ascii="Times New Roman" w:hAnsi="Times New Roman" w:eastAsia="宋体" w:cs="Times New Roman"/>
          <w:spacing w:val="-2"/>
          <w:sz w:val="24"/>
          <w:szCs w:val="24"/>
          <w:highlight w:val="none"/>
        </w:rPr>
        <w:t>），排污单位提交建设项目环境影响评价报告表或不需要开展环境影响评价的，其入河排污口设置可只提交设置入河排污口对水功能区影响的简要分析材料。</w:t>
      </w:r>
      <w:r>
        <w:rPr>
          <w:rFonts w:hint="eastAsia" w:ascii="Times New Roman" w:hAnsi="Times New Roman" w:eastAsia="宋体" w:cs="Times New Roman"/>
          <w:spacing w:val="-2"/>
          <w:sz w:val="24"/>
          <w:szCs w:val="24"/>
          <w:highlight w:val="none"/>
          <w:lang w:val="en-US" w:eastAsia="zh-CN"/>
        </w:rPr>
        <w:t>详见附件1：关于潼关县桐峪镇污水处理站及配套管网工程建设项目环境影响报告表的批复。</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72" w:firstLineChars="200"/>
        <w:jc w:val="left"/>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简要分析材料应包括以下内容：</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z w:val="24"/>
          <w:szCs w:val="24"/>
          <w:highlight w:val="none"/>
        </w:rPr>
        <w:t>（1）</w:t>
      </w:r>
      <w:r>
        <w:rPr>
          <w:rFonts w:hint="default" w:ascii="Times New Roman" w:hAnsi="Times New Roman" w:eastAsia="宋体" w:cs="Times New Roman"/>
          <w:spacing w:val="-2"/>
          <w:sz w:val="24"/>
          <w:szCs w:val="24"/>
          <w:highlight w:val="none"/>
        </w:rPr>
        <w:t>项目概况：排污单位污水产生环节、污水排放量、主要污染物种类、浓度和总量、 达标排放情况以及排放去向等；</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2"/>
          <w:sz w:val="24"/>
          <w:szCs w:val="24"/>
          <w:highlight w:val="none"/>
        </w:rPr>
        <w:t>入河排污口设置方案：包括入河排污口排放位置、排污方式和入河排污口门的设置情况；</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2"/>
          <w:sz w:val="24"/>
          <w:szCs w:val="24"/>
          <w:highlight w:val="none"/>
        </w:rPr>
        <w:t>对受纳水体的水功能区、考核断面水质及水生态影响分析；</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pacing w:val="-2"/>
          <w:sz w:val="24"/>
          <w:szCs w:val="24"/>
          <w:highlight w:val="none"/>
          <w:lang w:eastAsia="zh-CN"/>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2"/>
          <w:sz w:val="24"/>
          <w:szCs w:val="24"/>
          <w:highlight w:val="none"/>
        </w:rPr>
        <w:t>结论。</w:t>
      </w:r>
    </w:p>
    <w:p>
      <w:pPr>
        <w:keepNext w:val="0"/>
        <w:keepLines w:val="0"/>
        <w:widowControl w:val="0"/>
        <w:suppressLineNumbers w:val="0"/>
        <w:spacing w:before="0" w:beforeAutospacing="0" w:after="0" w:afterAutospacing="0"/>
        <w:ind w:left="0" w:right="0"/>
        <w:jc w:val="center"/>
      </w:pPr>
      <w:r>
        <w:rPr>
          <w:rFonts w:hint="default" w:ascii="Calibri" w:hAnsi="Calibri" w:eastAsia="宋体" w:cs="Times New Roman"/>
          <w:kern w:val="2"/>
          <w:sz w:val="21"/>
          <w:szCs w:val="21"/>
          <w:lang w:val="en-US" w:eastAsia="zh-CN" w:bidi="ar"/>
        </w:rPr>
        <w:drawing>
          <wp:inline distT="0" distB="0" distL="114300" distR="114300">
            <wp:extent cx="4109720" cy="5186680"/>
            <wp:effectExtent l="0" t="0" r="508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5"/>
                    <a:stretch>
                      <a:fillRect/>
                    </a:stretch>
                  </pic:blipFill>
                  <pic:spPr>
                    <a:xfrm>
                      <a:off x="0" y="0"/>
                      <a:ext cx="4109720" cy="51866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微软雅黑" w:hAnsi="微软雅黑" w:eastAsia="微软雅黑" w:cs="微软雅黑"/>
          <w:color w:val="818181"/>
          <w:spacing w:val="15"/>
          <w:kern w:val="2"/>
          <w:sz w:val="19"/>
          <w:szCs w:val="19"/>
          <w:lang w:val="en-US" w:eastAsia="zh-CN" w:bidi="ar-SA"/>
        </w:rPr>
      </w:pPr>
      <w:bookmarkStart w:id="52" w:name="_Toc430761747"/>
      <w:r>
        <w:rPr>
          <w:rFonts w:hint="default" w:ascii="微软雅黑" w:hAnsi="微软雅黑" w:eastAsia="微软雅黑" w:cs="微软雅黑"/>
          <w:color w:val="818181"/>
          <w:spacing w:val="15"/>
          <w:kern w:val="2"/>
          <w:sz w:val="19"/>
          <w:szCs w:val="19"/>
          <w:lang w:val="en-US" w:eastAsia="zh-CN" w:bidi="ar-SA"/>
        </w:rPr>
        <w:t>图1.4-1论证工作程序示意图</w:t>
      </w:r>
      <w:bookmarkEnd w:id="52"/>
    </w:p>
    <w:p>
      <w:pPr>
        <w:pStyle w:val="2"/>
        <w:bidi w:val="0"/>
        <w:ind w:left="0" w:leftChars="0" w:firstLine="0" w:firstLineChars="0"/>
        <w:rPr>
          <w:rFonts w:hint="default"/>
        </w:rPr>
      </w:pPr>
      <w:bookmarkStart w:id="53" w:name="_Toc28316"/>
      <w:r>
        <w:rPr>
          <w:rFonts w:hint="default"/>
        </w:rPr>
        <w:t>项目概况</w:t>
      </w:r>
      <w:bookmarkEnd w:id="5"/>
      <w:bookmarkEnd w:id="6"/>
      <w:bookmarkEnd w:id="7"/>
      <w:bookmarkEnd w:id="53"/>
    </w:p>
    <w:p>
      <w:pPr>
        <w:pStyle w:val="3"/>
        <w:bidi w:val="0"/>
        <w:ind w:left="0" w:leftChars="0" w:firstLine="0" w:firstLineChars="0"/>
        <w:rPr>
          <w:rFonts w:hint="default"/>
        </w:rPr>
      </w:pPr>
      <w:bookmarkStart w:id="54" w:name="_Toc5481"/>
      <w:bookmarkStart w:id="55" w:name="_Toc2536"/>
      <w:r>
        <w:rPr>
          <w:rFonts w:hint="eastAsia"/>
          <w:lang w:eastAsia="zh-CN"/>
        </w:rPr>
        <w:t>项目</w:t>
      </w:r>
      <w:r>
        <w:rPr>
          <w:rFonts w:hint="eastAsia"/>
          <w:lang w:val="en-US" w:eastAsia="zh-CN"/>
        </w:rPr>
        <w:t>基本情况</w:t>
      </w:r>
      <w:bookmarkEnd w:id="54"/>
      <w:bookmarkEnd w:id="55"/>
    </w:p>
    <w:p>
      <w:pPr>
        <w:pStyle w:val="13"/>
        <w:keepNext w:val="0"/>
        <w:keepLines w:val="0"/>
        <w:pageBreakBefore w:val="0"/>
        <w:widowControl w:val="0"/>
        <w:kinsoku/>
        <w:wordWrap/>
        <w:overflowPunct/>
        <w:topLinePunct w:val="0"/>
        <w:autoSpaceDE/>
        <w:autoSpaceDN/>
        <w:bidi w:val="0"/>
        <w:adjustRightInd w:val="0"/>
        <w:snapToGrid/>
        <w:spacing w:line="360" w:lineRule="auto"/>
        <w:ind w:left="0" w:leftChars="0" w:firstLine="508" w:firstLineChars="200"/>
        <w:textAlignment w:val="auto"/>
        <w:rPr>
          <w:rFonts w:hint="eastAsia" w:ascii="宋体" w:hAnsi="宋体" w:eastAsia="宋体" w:cs="宋体"/>
          <w:spacing w:val="7"/>
          <w:sz w:val="24"/>
          <w:szCs w:val="24"/>
          <w:u w:val="none" w:color="auto"/>
        </w:rPr>
      </w:pPr>
      <w:r>
        <w:rPr>
          <w:rFonts w:hint="eastAsia" w:ascii="宋体" w:hAnsi="宋体" w:eastAsia="宋体" w:cs="宋体"/>
          <w:spacing w:val="7"/>
          <w:sz w:val="24"/>
          <w:szCs w:val="24"/>
          <w:u w:val="none" w:color="auto"/>
        </w:rPr>
        <w:t>潼关县委县政府着力提升农村基础设施水平，促进潼关县生态文明建设、 新农村建设及全域旅游发展，各级政府部门开始在新农村建设、乡村清洁和卫生改厕等 工程中加强农村生活污水治理方面的基础设备建设项目，污水排放和污水处理是新农村 环境建设的重要标志，也是衡量农村现代化发展水平的一个主要标准。随着潼关县新农 村建设规模的不断扩大，农村的经济发展大幅度加快，人民的生活水平不断提高，全域旅游建设也在大力发展，农村生活污水的排放量日益增大。同时伴随着特色乡镇等旅游度假项目的落地建设，污水的集中收集与集中处理成为当务之急，因此在各村新建污水处理站和完整的排水系统迫在眉睫，以保障各村基础设施水平，并且提升当地旅游环境。</w:t>
      </w:r>
    </w:p>
    <w:p>
      <w:pPr>
        <w:pStyle w:val="13"/>
        <w:keepNext w:val="0"/>
        <w:keepLines w:val="0"/>
        <w:pageBreakBefore w:val="0"/>
        <w:widowControl w:val="0"/>
        <w:kinsoku/>
        <w:wordWrap/>
        <w:overflowPunct/>
        <w:topLinePunct w:val="0"/>
        <w:autoSpaceDE/>
        <w:autoSpaceDN/>
        <w:bidi w:val="0"/>
        <w:adjustRightInd w:val="0"/>
        <w:snapToGrid/>
        <w:spacing w:line="360" w:lineRule="auto"/>
        <w:ind w:left="0" w:leftChars="0" w:firstLine="508" w:firstLineChars="200"/>
        <w:textAlignment w:val="auto"/>
        <w:rPr>
          <w:rFonts w:hint="eastAsia" w:ascii="宋体" w:hAnsi="宋体" w:eastAsia="宋体" w:cs="宋体"/>
          <w:spacing w:val="7"/>
          <w:sz w:val="24"/>
          <w:szCs w:val="24"/>
          <w:u w:val="none" w:color="auto"/>
        </w:rPr>
      </w:pPr>
      <w:r>
        <w:rPr>
          <w:rFonts w:hint="eastAsia" w:ascii="宋体" w:hAnsi="宋体" w:eastAsia="宋体" w:cs="宋体"/>
          <w:spacing w:val="7"/>
          <w:sz w:val="24"/>
          <w:szCs w:val="24"/>
          <w:u w:val="none" w:color="auto"/>
        </w:rPr>
        <w:t>为此，陕西省水务集团潼关县污水处理有限公司拟投资 893.69 万元建设潼关县桐峪镇污水处理站及配套管网工程，本次新建污水处理站主要服务于桐峪镇区，镇区由马口村和小口村两个村委会组成，南部为中金公司厂区及办公区，北部为文峪金矿机关及办公区，同时将镇边周边便于收集的村的生活污水纳入收集范围。该项目的建设可大量削 减污染物排放量，有效改善农村人居环境及周边河流的水环境质量</w:t>
      </w:r>
      <w:r>
        <w:rPr>
          <w:rFonts w:hint="eastAsia" w:ascii="宋体" w:hAnsi="宋体" w:eastAsia="宋体" w:cs="宋体"/>
          <w:spacing w:val="7"/>
          <w:sz w:val="24"/>
          <w:szCs w:val="24"/>
          <w:u w:val="none" w:color="auto"/>
          <w:lang w:eastAsia="zh-CN"/>
        </w:rPr>
        <w:t>，</w:t>
      </w:r>
      <w:r>
        <w:rPr>
          <w:rFonts w:hint="eastAsia" w:ascii="宋体" w:hAnsi="宋体" w:eastAsia="宋体" w:cs="宋体"/>
          <w:spacing w:val="7"/>
          <w:sz w:val="24"/>
          <w:szCs w:val="24"/>
          <w:u w:val="none" w:color="auto"/>
        </w:rPr>
        <w:t>为潼关县发展地方经济、加快城镇化进程、建设美丽乡村做出巨大贡献。</w:t>
      </w:r>
    </w:p>
    <w:p>
      <w:pPr>
        <w:keepNext w:val="0"/>
        <w:keepLines w:val="0"/>
        <w:pageBreakBefore w:val="0"/>
        <w:widowControl w:val="0"/>
        <w:kinsoku/>
        <w:wordWrap/>
        <w:overflowPunct/>
        <w:topLinePunct w:val="0"/>
        <w:autoSpaceDE/>
        <w:autoSpaceDN/>
        <w:bidi w:val="0"/>
        <w:adjustRightInd w:val="0"/>
        <w:snapToGrid w:val="0"/>
        <w:spacing w:line="360" w:lineRule="auto"/>
        <w:ind w:firstLine="508" w:firstLineChars="200"/>
        <w:jc w:val="left"/>
        <w:textAlignment w:val="auto"/>
        <w:rPr>
          <w:rFonts w:hint="eastAsia" w:ascii="宋体" w:hAnsi="宋体" w:eastAsia="宋体" w:cs="宋体"/>
          <w:spacing w:val="7"/>
          <w:sz w:val="24"/>
          <w:szCs w:val="24"/>
          <w:u w:val="none" w:color="auto"/>
          <w:lang w:val="en-US" w:eastAsia="zh-CN"/>
        </w:rPr>
      </w:pPr>
      <w:r>
        <w:rPr>
          <w:rFonts w:hint="eastAsia" w:ascii="宋体" w:hAnsi="宋体" w:eastAsia="宋体" w:cs="宋体"/>
          <w:spacing w:val="7"/>
          <w:sz w:val="24"/>
          <w:szCs w:val="24"/>
          <w:u w:val="none" w:color="auto"/>
          <w:lang w:val="en-US" w:eastAsia="zh-CN"/>
        </w:rPr>
        <w:t>2020年11月4日委托陕西杰源环保科技</w:t>
      </w:r>
      <w:r>
        <w:rPr>
          <w:rFonts w:hint="default" w:ascii="宋体" w:hAnsi="宋体" w:eastAsia="宋体" w:cs="宋体"/>
          <w:spacing w:val="7"/>
          <w:sz w:val="24"/>
          <w:szCs w:val="24"/>
          <w:u w:val="none" w:color="auto"/>
          <w:lang w:val="en-US" w:eastAsia="zh-CN"/>
        </w:rPr>
        <w:t>有限公司编制完成了</w:t>
      </w:r>
      <w:r>
        <w:rPr>
          <w:rFonts w:hint="eastAsia" w:ascii="宋体" w:hAnsi="宋体" w:eastAsia="宋体" w:cs="宋体"/>
          <w:spacing w:val="7"/>
          <w:sz w:val="24"/>
          <w:szCs w:val="24"/>
          <w:u w:val="none" w:color="auto"/>
          <w:lang w:val="en-US" w:eastAsia="zh-CN"/>
        </w:rPr>
        <w:t>《潼关县桐峪镇污水处理站及配套管网工程项目环境影响报告表》，并于2020年12月31日取得渭南市生态环境局潼关分局《关于潼关县桐峪镇污水处理站及配套管网工程项目环境影响报告表的批复》（渭环潼发[2020]103号），详见附件1项目环境影响批复。</w:t>
      </w:r>
    </w:p>
    <w:p>
      <w:pPr>
        <w:keepNext w:val="0"/>
        <w:keepLines w:val="0"/>
        <w:pageBreakBefore w:val="0"/>
        <w:widowControl w:val="0"/>
        <w:kinsoku/>
        <w:wordWrap/>
        <w:overflowPunct/>
        <w:topLinePunct w:val="0"/>
        <w:autoSpaceDE/>
        <w:autoSpaceDN/>
        <w:bidi w:val="0"/>
        <w:adjustRightInd w:val="0"/>
        <w:snapToGrid w:val="0"/>
        <w:spacing w:line="360" w:lineRule="auto"/>
        <w:ind w:firstLine="508" w:firstLineChars="200"/>
        <w:jc w:val="left"/>
        <w:textAlignment w:val="auto"/>
        <w:rPr>
          <w:rFonts w:hint="eastAsia" w:ascii="宋体" w:hAnsi="宋体" w:eastAsia="宋体" w:cs="宋体"/>
          <w:spacing w:val="7"/>
          <w:sz w:val="24"/>
          <w:szCs w:val="24"/>
          <w:u w:val="none" w:color="auto"/>
          <w:lang w:val="en-US" w:eastAsia="zh-CN"/>
        </w:rPr>
      </w:pPr>
      <w:r>
        <w:rPr>
          <w:rFonts w:hint="eastAsia" w:ascii="宋体" w:hAnsi="宋体" w:eastAsia="宋体" w:cs="宋体"/>
          <w:spacing w:val="7"/>
          <w:sz w:val="24"/>
          <w:szCs w:val="24"/>
          <w:u w:val="none" w:color="auto"/>
          <w:lang w:val="en-US" w:eastAsia="zh-CN"/>
        </w:rPr>
        <w:t>2023年已建设完成1座污水处理站，占地面积766m</w:t>
      </w:r>
      <w:r>
        <w:rPr>
          <w:rFonts w:hint="eastAsia" w:ascii="宋体" w:hAnsi="宋体" w:eastAsia="宋体" w:cs="宋体"/>
          <w:spacing w:val="7"/>
          <w:sz w:val="24"/>
          <w:szCs w:val="24"/>
          <w:u w:val="none" w:color="auto"/>
          <w:vertAlign w:val="superscript"/>
          <w:lang w:val="en-US" w:eastAsia="zh-CN"/>
        </w:rPr>
        <w:t>2</w:t>
      </w:r>
      <w:r>
        <w:rPr>
          <w:rFonts w:hint="eastAsia" w:ascii="宋体" w:hAnsi="宋体" w:eastAsia="宋体" w:cs="宋体"/>
          <w:spacing w:val="7"/>
          <w:sz w:val="24"/>
          <w:szCs w:val="24"/>
          <w:u w:val="none" w:color="auto"/>
          <w:lang w:val="en-US" w:eastAsia="zh-CN"/>
        </w:rPr>
        <w:t>设置处理规模300m</w:t>
      </w:r>
      <w:r>
        <w:rPr>
          <w:rFonts w:hint="eastAsia" w:ascii="宋体" w:hAnsi="宋体" w:eastAsia="宋体" w:cs="宋体"/>
          <w:spacing w:val="7"/>
          <w:sz w:val="24"/>
          <w:szCs w:val="24"/>
          <w:u w:val="none" w:color="auto"/>
          <w:vertAlign w:val="superscript"/>
          <w:lang w:val="en-US" w:eastAsia="zh-CN"/>
        </w:rPr>
        <w:t>3</w:t>
      </w:r>
      <w:r>
        <w:rPr>
          <w:rFonts w:hint="eastAsia" w:ascii="宋体" w:hAnsi="宋体" w:eastAsia="宋体" w:cs="宋体"/>
          <w:spacing w:val="7"/>
          <w:sz w:val="24"/>
          <w:szCs w:val="24"/>
          <w:u w:val="none" w:color="auto"/>
          <w:lang w:val="en-US" w:eastAsia="zh-CN"/>
        </w:rPr>
        <w:t>/d，土建工程按远期规模设计，设备按照近期规模安装。污水处理站采用预处理+A</w:t>
      </w:r>
      <w:r>
        <w:rPr>
          <w:rFonts w:hint="eastAsia" w:ascii="宋体" w:hAnsi="宋体" w:eastAsia="宋体" w:cs="宋体"/>
          <w:spacing w:val="7"/>
          <w:sz w:val="24"/>
          <w:szCs w:val="24"/>
          <w:u w:val="none" w:color="auto"/>
          <w:vertAlign w:val="superscript"/>
          <w:lang w:val="en-US" w:eastAsia="zh-CN"/>
        </w:rPr>
        <w:t>3</w:t>
      </w:r>
      <w:r>
        <w:rPr>
          <w:rFonts w:hint="eastAsia" w:ascii="宋体" w:hAnsi="宋体" w:eastAsia="宋体" w:cs="宋体"/>
          <w:spacing w:val="7"/>
          <w:sz w:val="24"/>
          <w:szCs w:val="24"/>
          <w:u w:val="none" w:color="auto"/>
          <w:lang w:val="en-US" w:eastAsia="zh-CN"/>
        </w:rPr>
        <w:t>/O＋MBBR+消毒工艺，出水执行《城镇污水处理厂污染物排放标准（GB18918-2002）》一级A标准。本项目现未开展竣工环保设施验收工作，处于停运状态，项目计划于2024年10月正式投入运行。</w:t>
      </w:r>
    </w:p>
    <w:p>
      <w:pPr>
        <w:keepNext w:val="0"/>
        <w:keepLines w:val="0"/>
        <w:pageBreakBefore w:val="0"/>
        <w:widowControl w:val="0"/>
        <w:kinsoku/>
        <w:wordWrap/>
        <w:overflowPunct/>
        <w:topLinePunct w:val="0"/>
        <w:autoSpaceDE/>
        <w:autoSpaceDN/>
        <w:bidi w:val="0"/>
        <w:adjustRightInd w:val="0"/>
        <w:snapToGrid w:val="0"/>
        <w:spacing w:line="360" w:lineRule="auto"/>
        <w:ind w:firstLine="508" w:firstLineChars="200"/>
        <w:jc w:val="left"/>
        <w:textAlignment w:val="auto"/>
        <w:rPr>
          <w:rFonts w:hint="default" w:ascii="宋体" w:hAnsi="宋体" w:eastAsia="宋体" w:cs="宋体"/>
          <w:spacing w:val="7"/>
          <w:sz w:val="24"/>
          <w:szCs w:val="24"/>
          <w:u w:val="none" w:color="auto"/>
          <w:lang w:val="en-US" w:eastAsia="zh-CN"/>
        </w:rPr>
      </w:pPr>
      <w:r>
        <w:rPr>
          <w:rFonts w:hint="eastAsia" w:ascii="宋体" w:hAnsi="宋体" w:eastAsia="宋体" w:cs="宋体"/>
          <w:spacing w:val="7"/>
          <w:sz w:val="24"/>
          <w:szCs w:val="24"/>
          <w:u w:val="none" w:color="auto"/>
          <w:lang w:val="en-US" w:eastAsia="zh-CN"/>
        </w:rPr>
        <w:t>同时，根据</w:t>
      </w:r>
      <w:r>
        <w:rPr>
          <w:rFonts w:hint="default" w:ascii="宋体" w:hAnsi="宋体" w:eastAsia="宋体" w:cs="宋体"/>
          <w:spacing w:val="7"/>
          <w:sz w:val="24"/>
          <w:szCs w:val="24"/>
          <w:u w:val="none" w:color="auto"/>
          <w:lang w:val="en-US" w:eastAsia="zh-CN"/>
        </w:rPr>
        <w:t>2004年11月30日水利部公布</w:t>
      </w:r>
      <w:r>
        <w:rPr>
          <w:rFonts w:hint="eastAsia" w:ascii="宋体" w:hAnsi="宋体" w:eastAsia="宋体" w:cs="宋体"/>
          <w:spacing w:val="7"/>
          <w:sz w:val="24"/>
          <w:szCs w:val="24"/>
          <w:u w:val="none" w:color="auto"/>
          <w:lang w:val="en-US" w:eastAsia="zh-CN"/>
        </w:rPr>
        <w:t>的</w:t>
      </w:r>
      <w:r>
        <w:rPr>
          <w:rFonts w:hint="default" w:ascii="宋体" w:hAnsi="宋体" w:eastAsia="宋体" w:cs="宋体"/>
          <w:spacing w:val="7"/>
          <w:sz w:val="24"/>
          <w:szCs w:val="24"/>
          <w:u w:val="none" w:color="auto"/>
          <w:lang w:val="en-US" w:eastAsia="zh-CN"/>
        </w:rPr>
        <w:t>《入河排污口监督管理办法》（水利部令第22号），自2005年1月1日起施行，标志着建设项目入河排污口设置论证制度在我国正式建立和全面实施，2015年12月16日水利部令第47号修改公布。《办法》第十条中明确规定：</w:t>
      </w:r>
      <w:r>
        <w:rPr>
          <w:rFonts w:hint="eastAsia" w:ascii="宋体" w:hAnsi="宋体" w:eastAsia="宋体" w:cs="宋体"/>
          <w:spacing w:val="7"/>
          <w:sz w:val="24"/>
          <w:szCs w:val="24"/>
          <w:u w:val="none" w:color="auto"/>
          <w:lang w:val="en-US" w:eastAsia="zh-CN"/>
        </w:rPr>
        <w:t>“排污单位应当按照有关技术要求，自行或者委托有关单位编制入河排污口设置论证报告”；陕西</w:t>
      </w:r>
      <w:r>
        <w:rPr>
          <w:rFonts w:hint="default" w:ascii="宋体" w:hAnsi="宋体" w:eastAsia="宋体" w:cs="宋体"/>
          <w:spacing w:val="7"/>
          <w:sz w:val="24"/>
          <w:szCs w:val="24"/>
          <w:u w:val="none" w:color="auto"/>
          <w:lang w:val="en-US" w:eastAsia="zh-CN"/>
        </w:rPr>
        <w:t>省人民政府发布的《陕西省入河排污口监督管理细则》（陕水发〔2006〕36号）规定，在河流河道管理范围内新建、改建或者扩大入河排污口，单位必须编制入河排污口设置论证报告书，并向有管辖权的县级以上地方人民政府水行政主管部门或者流域管理机构提出入河排污口设置申请。</w:t>
      </w:r>
    </w:p>
    <w:p>
      <w:pPr>
        <w:adjustRightInd w:val="0"/>
        <w:snapToGrid w:val="0"/>
        <w:spacing w:line="360" w:lineRule="auto"/>
        <w:ind w:firstLine="508" w:firstLineChars="200"/>
        <w:jc w:val="left"/>
        <w:rPr>
          <w:rFonts w:hint="eastAsia" w:ascii="宋体" w:hAnsi="宋体" w:eastAsia="宋体" w:cs="宋体"/>
          <w:spacing w:val="7"/>
          <w:sz w:val="24"/>
          <w:szCs w:val="24"/>
          <w:u w:val="none" w:color="auto"/>
          <w:lang w:val="en-US" w:eastAsia="zh-CN"/>
        </w:rPr>
      </w:pPr>
      <w:r>
        <w:rPr>
          <w:rFonts w:hint="default" w:ascii="宋体" w:hAnsi="宋体" w:eastAsia="宋体" w:cs="宋体"/>
          <w:spacing w:val="7"/>
          <w:sz w:val="24"/>
          <w:szCs w:val="24"/>
          <w:u w:val="none" w:color="auto"/>
          <w:lang w:val="en-US" w:eastAsia="zh-CN"/>
        </w:rPr>
        <w:t>为严格执行水利部《入河排污口监督管理办法》、陕西省水利厅《陕西省入河排污口监督管理细则</w:t>
      </w:r>
      <w:r>
        <w:rPr>
          <w:rFonts w:hint="eastAsia" w:ascii="宋体" w:hAnsi="宋体" w:eastAsia="宋体" w:cs="宋体"/>
          <w:spacing w:val="7"/>
          <w:sz w:val="24"/>
          <w:szCs w:val="24"/>
          <w:u w:val="none" w:color="auto"/>
          <w:lang w:val="en-US" w:eastAsia="zh-CN"/>
        </w:rPr>
        <w:t>》</w:t>
      </w:r>
      <w:r>
        <w:rPr>
          <w:rFonts w:hint="default" w:ascii="宋体" w:hAnsi="宋体" w:eastAsia="宋体" w:cs="宋体"/>
          <w:spacing w:val="7"/>
          <w:sz w:val="24"/>
          <w:szCs w:val="24"/>
          <w:u w:val="none" w:color="auto"/>
          <w:lang w:val="en-US" w:eastAsia="zh-CN"/>
        </w:rPr>
        <w:t>促进水资源优化配置，保证水资源可持续利用，保障建设项目的合理排水要求，</w:t>
      </w:r>
      <w:r>
        <w:rPr>
          <w:rFonts w:hint="eastAsia" w:ascii="宋体" w:hAnsi="宋体" w:eastAsia="宋体" w:cs="宋体"/>
          <w:spacing w:val="7"/>
          <w:sz w:val="24"/>
          <w:szCs w:val="24"/>
          <w:u w:val="none" w:color="auto"/>
        </w:rPr>
        <w:t>陕西省水务集团潼关县污水处理有限公司</w:t>
      </w:r>
      <w:r>
        <w:rPr>
          <w:rFonts w:hint="eastAsia" w:ascii="宋体" w:hAnsi="宋体" w:eastAsia="宋体" w:cs="宋体"/>
          <w:spacing w:val="7"/>
          <w:sz w:val="24"/>
          <w:szCs w:val="24"/>
          <w:u w:val="none" w:color="auto"/>
          <w:lang w:val="en-US" w:eastAsia="zh-CN"/>
        </w:rPr>
        <w:t>委托我公司编制</w:t>
      </w:r>
      <w:r>
        <w:rPr>
          <w:rFonts w:hint="eastAsia" w:ascii="宋体" w:hAnsi="宋体" w:eastAsia="宋体" w:cs="宋体"/>
          <w:spacing w:val="7"/>
          <w:sz w:val="24"/>
          <w:szCs w:val="24"/>
          <w:u w:val="none" w:color="auto"/>
        </w:rPr>
        <w:t>潼关县桐峪镇污水处</w:t>
      </w:r>
      <w:r>
        <w:rPr>
          <w:rFonts w:hint="eastAsia" w:ascii="宋体" w:hAnsi="宋体" w:eastAsia="宋体" w:cs="宋体"/>
          <w:spacing w:val="7"/>
          <w:sz w:val="24"/>
          <w:szCs w:val="24"/>
          <w:u w:val="none" w:color="auto"/>
          <w:lang w:val="en-US" w:eastAsia="zh-CN"/>
        </w:rPr>
        <w:t>理</w:t>
      </w:r>
      <w:r>
        <w:rPr>
          <w:rFonts w:hint="eastAsia" w:ascii="宋体" w:hAnsi="宋体" w:eastAsia="宋体" w:cs="宋体"/>
          <w:spacing w:val="7"/>
          <w:sz w:val="24"/>
          <w:szCs w:val="24"/>
          <w:u w:val="none" w:color="auto"/>
        </w:rPr>
        <w:t>站及配套管网工程</w:t>
      </w:r>
      <w:r>
        <w:rPr>
          <w:rFonts w:hint="eastAsia" w:ascii="宋体" w:hAnsi="宋体" w:eastAsia="宋体" w:cs="宋体"/>
          <w:spacing w:val="7"/>
          <w:sz w:val="24"/>
          <w:szCs w:val="24"/>
          <w:u w:val="none" w:color="auto"/>
          <w:lang w:val="en-US" w:eastAsia="zh-CN"/>
        </w:rPr>
        <w:t>项目</w:t>
      </w:r>
      <w:r>
        <w:rPr>
          <w:rFonts w:hint="eastAsia" w:ascii="宋体" w:hAnsi="宋体" w:eastAsia="宋体" w:cs="宋体"/>
          <w:spacing w:val="7"/>
          <w:sz w:val="24"/>
          <w:szCs w:val="24"/>
          <w:u w:val="none" w:color="auto"/>
        </w:rPr>
        <w:t>入河排污口设置简要分析材料</w:t>
      </w:r>
      <w:r>
        <w:rPr>
          <w:rFonts w:hint="eastAsia" w:ascii="宋体" w:hAnsi="宋体" w:eastAsia="宋体" w:cs="宋体"/>
          <w:spacing w:val="7"/>
          <w:sz w:val="24"/>
          <w:szCs w:val="24"/>
          <w:u w:val="none" w:color="auto"/>
          <w:lang w:val="en-US" w:eastAsia="zh-CN"/>
        </w:rPr>
        <w:t>报送渭南市生态环境局潼关分局审核。</w:t>
      </w:r>
    </w:p>
    <w:p>
      <w:pPr>
        <w:pStyle w:val="3"/>
        <w:bidi w:val="0"/>
        <w:ind w:left="0" w:leftChars="0" w:firstLine="0" w:firstLineChars="0"/>
        <w:rPr>
          <w:rFonts w:hint="default"/>
          <w:lang w:val="en-US" w:eastAsia="zh-CN"/>
        </w:rPr>
      </w:pPr>
      <w:bookmarkStart w:id="56" w:name="_Toc12541"/>
      <w:r>
        <w:rPr>
          <w:rFonts w:hint="eastAsia"/>
          <w:color w:val="auto"/>
          <w:lang w:val="en-US" w:eastAsia="zh-CN"/>
        </w:rPr>
        <w:t>项目及排污口基本情况</w:t>
      </w:r>
      <w:bookmarkEnd w:id="56"/>
    </w:p>
    <w:p>
      <w:pPr>
        <w:pStyle w:val="17"/>
        <w:keepNext w:val="0"/>
        <w:keepLines w:val="0"/>
        <w:pageBreakBefore w:val="0"/>
        <w:widowControl w:val="0"/>
        <w:kinsoku/>
        <w:wordWrap/>
        <w:overflowPunct/>
        <w:topLinePunct w:val="0"/>
        <w:autoSpaceDE/>
        <w:autoSpaceDN/>
        <w:bidi w:val="0"/>
        <w:adjustRightInd w:val="0"/>
        <w:snapToGrid w:val="0"/>
        <w:spacing w:before="105" w:line="360" w:lineRule="auto"/>
        <w:ind w:firstLine="508" w:firstLineChars="200"/>
        <w:textAlignment w:val="auto"/>
        <w:rPr>
          <w:rFonts w:hint="default" w:ascii="宋体" w:hAnsi="宋体" w:eastAsia="宋体" w:cs="宋体"/>
          <w:spacing w:val="7"/>
          <w:kern w:val="2"/>
          <w:sz w:val="24"/>
          <w:szCs w:val="24"/>
          <w:u w:val="none" w:color="auto"/>
          <w:lang w:val="en-US" w:eastAsia="zh-CN" w:bidi="ar-SA"/>
        </w:rPr>
      </w:pPr>
      <w:r>
        <w:rPr>
          <w:rFonts w:hint="eastAsia" w:ascii="宋体" w:hAnsi="宋体" w:eastAsia="宋体" w:cs="宋体"/>
          <w:spacing w:val="7"/>
          <w:kern w:val="2"/>
          <w:sz w:val="24"/>
          <w:szCs w:val="24"/>
          <w:u w:val="none" w:color="auto"/>
          <w:lang w:val="en-US" w:eastAsia="zh-CN" w:bidi="ar-SA"/>
        </w:rPr>
        <w:t>潼关县桐峪镇污水处理站及配套管网工程</w:t>
      </w:r>
      <w:r>
        <w:rPr>
          <w:rFonts w:hint="eastAsia" w:cs="宋体"/>
          <w:spacing w:val="7"/>
          <w:kern w:val="2"/>
          <w:sz w:val="24"/>
          <w:szCs w:val="24"/>
          <w:u w:val="none" w:color="auto"/>
          <w:lang w:val="en-US" w:eastAsia="zh-CN" w:bidi="ar-SA"/>
        </w:rPr>
        <w:t>项目由</w:t>
      </w:r>
      <w:r>
        <w:rPr>
          <w:rFonts w:hint="eastAsia" w:ascii="宋体" w:hAnsi="宋体" w:eastAsia="宋体" w:cs="宋体"/>
          <w:spacing w:val="7"/>
          <w:kern w:val="2"/>
          <w:sz w:val="24"/>
          <w:szCs w:val="24"/>
          <w:u w:val="none" w:color="auto"/>
          <w:lang w:val="en-US" w:eastAsia="zh-CN" w:bidi="ar-SA"/>
        </w:rPr>
        <w:t>陕西省水务集团潼关县污水处理有限公司</w:t>
      </w:r>
      <w:r>
        <w:rPr>
          <w:rFonts w:hint="eastAsia" w:cs="宋体"/>
          <w:spacing w:val="7"/>
          <w:kern w:val="2"/>
          <w:sz w:val="24"/>
          <w:szCs w:val="24"/>
          <w:u w:val="none" w:color="auto"/>
          <w:lang w:val="en-US" w:eastAsia="zh-CN" w:bidi="ar-SA"/>
        </w:rPr>
        <w:t>于2024年3月建设完成，项目</w:t>
      </w:r>
      <w:r>
        <w:rPr>
          <w:rFonts w:hint="eastAsia" w:ascii="宋体" w:hAnsi="宋体" w:eastAsia="宋体" w:cs="宋体"/>
          <w:spacing w:val="7"/>
          <w:kern w:val="2"/>
          <w:sz w:val="24"/>
          <w:szCs w:val="24"/>
          <w:u w:val="none" w:color="auto"/>
          <w:lang w:val="en-US" w:eastAsia="zh-CN" w:bidi="ar-SA"/>
        </w:rPr>
        <w:t>总投资：893.69 万元。</w:t>
      </w:r>
      <w:r>
        <w:rPr>
          <w:rFonts w:hint="eastAsia" w:cs="宋体"/>
          <w:spacing w:val="7"/>
          <w:sz w:val="24"/>
          <w:szCs w:val="24"/>
          <w:u w:val="none" w:color="auto"/>
          <w:lang w:val="en-US" w:eastAsia="zh-CN"/>
        </w:rPr>
        <w:t>项目建设位置为</w:t>
      </w:r>
      <w:r>
        <w:rPr>
          <w:rFonts w:hint="eastAsia" w:ascii="宋体" w:hAnsi="宋体" w:eastAsia="宋体" w:cs="宋体"/>
          <w:spacing w:val="7"/>
          <w:kern w:val="2"/>
          <w:sz w:val="24"/>
          <w:szCs w:val="24"/>
          <w:u w:val="none" w:color="auto"/>
          <w:lang w:val="en-US" w:eastAsia="zh-CN" w:bidi="ar-SA"/>
        </w:rPr>
        <w:t>潼关县桐峪镇区北侧，铁路以南，Z202乡道以西的交叉口处；</w:t>
      </w:r>
      <w:r>
        <w:rPr>
          <w:rFonts w:hint="eastAsia" w:cs="宋体"/>
          <w:spacing w:val="7"/>
          <w:kern w:val="2"/>
          <w:sz w:val="24"/>
          <w:szCs w:val="24"/>
          <w:u w:val="none" w:color="auto"/>
          <w:lang w:val="en-US" w:eastAsia="zh-CN" w:bidi="ar-SA"/>
        </w:rPr>
        <w:t>排污口设置地点位于项目东侧桐峪河左岸，排污口坐标经度：110.358932,纬度：34.495698。</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508" w:firstLineChars="200"/>
        <w:textAlignment w:val="auto"/>
        <w:rPr>
          <w:rFonts w:hint="eastAsia" w:cs="宋体"/>
          <w:spacing w:val="7"/>
          <w:kern w:val="2"/>
          <w:sz w:val="24"/>
          <w:szCs w:val="24"/>
          <w:u w:val="none" w:color="auto"/>
          <w:lang w:val="en-US" w:eastAsia="zh-CN" w:bidi="ar-SA"/>
        </w:rPr>
      </w:pPr>
      <w:r>
        <w:rPr>
          <w:rFonts w:hint="eastAsia" w:cs="宋体"/>
          <w:spacing w:val="7"/>
          <w:kern w:val="2"/>
          <w:sz w:val="24"/>
          <w:szCs w:val="24"/>
          <w:u w:val="none" w:color="auto"/>
          <w:lang w:val="en-US" w:eastAsia="zh-CN" w:bidi="ar-SA"/>
        </w:rPr>
        <w:t>实际</w:t>
      </w:r>
      <w:r>
        <w:rPr>
          <w:rFonts w:hint="eastAsia" w:ascii="宋体" w:hAnsi="宋体" w:eastAsia="宋体" w:cs="宋体"/>
          <w:spacing w:val="7"/>
          <w:kern w:val="2"/>
          <w:sz w:val="24"/>
          <w:szCs w:val="24"/>
          <w:u w:val="none" w:color="auto"/>
          <w:lang w:val="en-US" w:eastAsia="zh-CN" w:bidi="ar-SA"/>
        </w:rPr>
        <w:t>建设内容：</w:t>
      </w:r>
      <w:r>
        <w:rPr>
          <w:rFonts w:hint="eastAsia" w:cs="宋体"/>
          <w:spacing w:val="7"/>
          <w:kern w:val="2"/>
          <w:sz w:val="24"/>
          <w:szCs w:val="24"/>
          <w:u w:val="none" w:color="auto"/>
          <w:lang w:val="en-US" w:eastAsia="zh-CN" w:bidi="ar-SA"/>
        </w:rPr>
        <w:t>污水处理站规模为</w:t>
      </w:r>
      <w:r>
        <w:rPr>
          <w:rFonts w:hint="eastAsia" w:ascii="宋体" w:hAnsi="宋体" w:eastAsia="宋体" w:cs="宋体"/>
          <w:spacing w:val="7"/>
          <w:sz w:val="24"/>
          <w:szCs w:val="24"/>
          <w:u w:val="none" w:color="auto"/>
          <w:lang w:val="en-US" w:eastAsia="zh-CN"/>
        </w:rPr>
        <w:t>300m</w:t>
      </w:r>
      <w:r>
        <w:rPr>
          <w:rFonts w:hint="eastAsia" w:ascii="宋体" w:hAnsi="宋体" w:eastAsia="宋体" w:cs="宋体"/>
          <w:spacing w:val="7"/>
          <w:sz w:val="24"/>
          <w:szCs w:val="24"/>
          <w:u w:val="none" w:color="auto"/>
          <w:vertAlign w:val="superscript"/>
          <w:lang w:val="en-US" w:eastAsia="zh-CN"/>
        </w:rPr>
        <w:t>3</w:t>
      </w:r>
      <w:r>
        <w:rPr>
          <w:rFonts w:hint="eastAsia" w:ascii="宋体" w:hAnsi="宋体" w:eastAsia="宋体" w:cs="宋体"/>
          <w:spacing w:val="7"/>
          <w:sz w:val="24"/>
          <w:szCs w:val="24"/>
          <w:u w:val="none" w:color="auto"/>
          <w:lang w:val="en-US" w:eastAsia="zh-CN"/>
        </w:rPr>
        <w:t>/d</w:t>
      </w:r>
      <w:r>
        <w:rPr>
          <w:rFonts w:hint="eastAsia" w:cs="宋体"/>
          <w:spacing w:val="7"/>
          <w:sz w:val="24"/>
          <w:szCs w:val="24"/>
          <w:u w:val="none" w:color="auto"/>
          <w:lang w:val="en-US" w:eastAsia="zh-CN"/>
        </w:rPr>
        <w:t>，</w:t>
      </w:r>
      <w:r>
        <w:rPr>
          <w:rFonts w:hint="eastAsia" w:ascii="宋体" w:hAnsi="宋体" w:eastAsia="宋体" w:cs="宋体"/>
          <w:spacing w:val="7"/>
          <w:kern w:val="2"/>
          <w:sz w:val="24"/>
          <w:szCs w:val="24"/>
          <w:u w:val="none" w:color="auto"/>
          <w:lang w:val="en-US" w:eastAsia="zh-CN" w:bidi="ar-SA"/>
        </w:rPr>
        <w:t>包括污水处理站和配套污水管网两大部分。污水处理站建设内容主要有</w:t>
      </w:r>
      <w:r>
        <w:rPr>
          <w:rFonts w:hint="eastAsia" w:cs="宋体"/>
          <w:spacing w:val="7"/>
          <w:kern w:val="2"/>
          <w:sz w:val="24"/>
          <w:szCs w:val="24"/>
          <w:u w:val="none" w:color="auto"/>
          <w:lang w:val="en-US" w:eastAsia="zh-CN" w:bidi="ar-SA"/>
        </w:rPr>
        <w:t>：</w:t>
      </w:r>
      <w:r>
        <w:rPr>
          <w:rFonts w:hint="eastAsia" w:ascii="宋体" w:hAnsi="宋体" w:eastAsia="宋体" w:cs="宋体"/>
          <w:spacing w:val="7"/>
          <w:kern w:val="2"/>
          <w:sz w:val="24"/>
          <w:szCs w:val="24"/>
          <w:u w:val="none" w:color="auto"/>
          <w:lang w:val="en-US" w:eastAsia="zh-CN" w:bidi="ar-SA"/>
        </w:rPr>
        <w:t>格栅+调节池+储泥池+消毒池、污水处理一体化设备（A3/O+MBBR 工艺）、配电间+加药间+值班室+设备间等主要构（建）筑物</w:t>
      </w:r>
      <w:r>
        <w:rPr>
          <w:rFonts w:hint="eastAsia" w:cs="宋体"/>
          <w:spacing w:val="7"/>
          <w:kern w:val="2"/>
          <w:sz w:val="24"/>
          <w:szCs w:val="24"/>
          <w:u w:val="none" w:color="auto"/>
          <w:lang w:val="en-US" w:eastAsia="zh-CN" w:bidi="ar-SA"/>
        </w:rPr>
        <w:t>，项目地理位置图见下图2.2-1。</w:t>
      </w:r>
    </w:p>
    <w:p>
      <w:pPr>
        <w:pStyle w:val="17"/>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微软雅黑" w:hAnsi="微软雅黑" w:eastAsia="微软雅黑" w:cs="微软雅黑"/>
          <w:color w:val="969696"/>
          <w:spacing w:val="19"/>
          <w:sz w:val="19"/>
          <w:szCs w:val="19"/>
          <w:lang w:val="en-US" w:eastAsia="zh-CN"/>
        </w:rPr>
      </w:pPr>
      <w:r>
        <w:rPr>
          <w:rFonts w:hint="default" w:cs="宋体"/>
          <w:spacing w:val="7"/>
          <w:kern w:val="2"/>
          <w:sz w:val="24"/>
          <w:szCs w:val="24"/>
          <w:u w:val="none" w:color="auto"/>
          <w:lang w:val="en-US" w:eastAsia="zh-CN" w:bidi="ar-SA"/>
        </w:rPr>
        <w:drawing>
          <wp:inline distT="0" distB="0" distL="114300" distR="114300">
            <wp:extent cx="5394325" cy="4003675"/>
            <wp:effectExtent l="0" t="0" r="15875" b="15875"/>
            <wp:docPr id="5" name="图片 5" descr="172000291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0002918358"/>
                    <pic:cNvPicPr>
                      <a:picLocks noChangeAspect="1"/>
                    </pic:cNvPicPr>
                  </pic:nvPicPr>
                  <pic:blipFill>
                    <a:blip r:embed="rId6"/>
                    <a:stretch>
                      <a:fillRect/>
                    </a:stretch>
                  </pic:blipFill>
                  <pic:spPr>
                    <a:xfrm>
                      <a:off x="0" y="0"/>
                      <a:ext cx="5394325" cy="4003675"/>
                    </a:xfrm>
                    <a:prstGeom prst="rect">
                      <a:avLst/>
                    </a:prstGeom>
                  </pic:spPr>
                </pic:pic>
              </a:graphicData>
            </a:graphic>
          </wp:inline>
        </w:drawing>
      </w:r>
      <w:r>
        <w:rPr>
          <w:rFonts w:hint="eastAsia" w:ascii="微软雅黑" w:hAnsi="微软雅黑" w:eastAsia="微软雅黑" w:cs="微软雅黑"/>
          <w:color w:val="818181"/>
          <w:spacing w:val="15"/>
          <w:kern w:val="2"/>
          <w:sz w:val="19"/>
          <w:szCs w:val="19"/>
          <w:lang w:val="en-US" w:eastAsia="zh-CN" w:bidi="ar-SA"/>
        </w:rPr>
        <w:t>图2.2-1 项目地理位置图</w:t>
      </w:r>
    </w:p>
    <w:p>
      <w:pPr>
        <w:pStyle w:val="3"/>
        <w:bidi w:val="0"/>
        <w:ind w:left="0" w:leftChars="0" w:firstLine="0" w:firstLineChars="0"/>
        <w:rPr>
          <w:rFonts w:hint="default" w:ascii="宋体" w:hAnsi="宋体" w:eastAsia="宋体" w:cs="宋体"/>
          <w:spacing w:val="7"/>
          <w:kern w:val="2"/>
          <w:sz w:val="24"/>
          <w:szCs w:val="24"/>
          <w:u w:val="none" w:color="auto"/>
          <w:lang w:val="en-US" w:eastAsia="zh-CN" w:bidi="ar-SA"/>
        </w:rPr>
      </w:pPr>
      <w:bookmarkStart w:id="57" w:name="_Toc30592"/>
      <w:r>
        <w:rPr>
          <w:rFonts w:hint="eastAsia"/>
          <w:color w:val="auto"/>
          <w:lang w:eastAsia="zh-CN"/>
        </w:rPr>
        <w:t>项目</w:t>
      </w:r>
      <w:r>
        <w:rPr>
          <w:rFonts w:hint="eastAsia"/>
          <w:color w:val="auto"/>
          <w:lang w:val="en-US" w:eastAsia="zh-CN"/>
        </w:rPr>
        <w:t>产排污情况</w:t>
      </w:r>
      <w:bookmarkEnd w:id="57"/>
    </w:p>
    <w:p>
      <w:pPr>
        <w:pStyle w:val="4"/>
        <w:bidi w:val="0"/>
        <w:ind w:left="0" w:leftChars="0" w:firstLine="0" w:firstLineChars="0"/>
        <w:rPr>
          <w:rFonts w:hint="default"/>
        </w:rPr>
      </w:pPr>
      <w:bookmarkStart w:id="58" w:name="_Toc9019"/>
      <w:r>
        <w:rPr>
          <w:rFonts w:hint="default"/>
        </w:rPr>
        <w:t>项目</w:t>
      </w:r>
      <w:bookmarkEnd w:id="58"/>
      <w:r>
        <w:rPr>
          <w:rFonts w:hint="eastAsia"/>
          <w:lang w:val="en-US" w:eastAsia="zh-CN"/>
        </w:rPr>
        <w:t>污水</w:t>
      </w:r>
      <w:r>
        <w:rPr>
          <w:rFonts w:hint="default"/>
        </w:rPr>
        <w:t>产生</w:t>
      </w:r>
      <w:r>
        <w:rPr>
          <w:rFonts w:hint="eastAsia"/>
          <w:lang w:eastAsia="zh-CN"/>
        </w:rPr>
        <w:t>、</w:t>
      </w:r>
      <w:r>
        <w:rPr>
          <w:rFonts w:hint="default"/>
        </w:rPr>
        <w:t>排放量</w:t>
      </w:r>
    </w:p>
    <w:p>
      <w:pPr>
        <w:pStyle w:val="17"/>
        <w:spacing w:before="62" w:line="354" w:lineRule="auto"/>
        <w:ind w:left="118" w:right="96" w:firstLine="472" w:firstLineChars="200"/>
        <w:rPr>
          <w:spacing w:val="-2"/>
        </w:rPr>
      </w:pPr>
      <w:r>
        <w:rPr>
          <w:rFonts w:hint="eastAsia"/>
          <w:spacing w:val="-2"/>
          <w:lang w:val="en-US" w:eastAsia="zh-CN"/>
        </w:rPr>
        <w:t>因项目当前未实际运行，</w:t>
      </w:r>
      <w:r>
        <w:rPr>
          <w:spacing w:val="-2"/>
        </w:rPr>
        <w:t>污水排放</w:t>
      </w:r>
      <w:r>
        <w:rPr>
          <w:rFonts w:hint="eastAsia"/>
          <w:spacing w:val="-2"/>
          <w:lang w:val="en-US" w:eastAsia="zh-CN"/>
        </w:rPr>
        <w:t>量按照环境影响评价设计系数进行计算，</w:t>
      </w:r>
      <w:r>
        <w:rPr>
          <w:spacing w:val="-2"/>
        </w:rPr>
        <w:t>根据《农村生活污水处理设施技术标准</w:t>
      </w:r>
      <w:r>
        <w:rPr>
          <w:spacing w:val="-3"/>
        </w:rPr>
        <w:t>》，农村生活</w:t>
      </w:r>
      <w:r>
        <w:rPr>
          <w:spacing w:val="-1"/>
        </w:rPr>
        <w:t>污水排水量一般为总用水量的</w:t>
      </w:r>
      <w:r>
        <w:rPr>
          <w:spacing w:val="-30"/>
        </w:rPr>
        <w:t xml:space="preserve"> </w:t>
      </w:r>
      <w:r>
        <w:rPr>
          <w:spacing w:val="-1"/>
        </w:rPr>
        <w:t>40%-80%，有洗衣污水室外泼洒</w:t>
      </w:r>
      <w:r>
        <w:rPr>
          <w:rFonts w:hint="eastAsia"/>
          <w:spacing w:val="-1"/>
          <w:lang w:eastAsia="zh-CN"/>
        </w:rPr>
        <w:t>、</w:t>
      </w:r>
      <w:r>
        <w:rPr>
          <w:spacing w:val="-1"/>
        </w:rPr>
        <w:t>厨房污水喂猪等习惯的</w:t>
      </w:r>
      <w:r>
        <w:rPr>
          <w:spacing w:val="-2"/>
        </w:rPr>
        <w:t>地方可取下限值，排水设施完善地方可取上限值。根据《室外排水</w:t>
      </w:r>
      <w:r>
        <w:rPr>
          <w:spacing w:val="-3"/>
        </w:rPr>
        <w:t>设计规范》，在按用</w:t>
      </w:r>
      <w:r>
        <w:rPr>
          <w:spacing w:val="-1"/>
        </w:rPr>
        <w:t>水定额确定污水定额时，对给排水系统完善的地区可按用水定额的</w:t>
      </w:r>
      <w:r>
        <w:rPr>
          <w:spacing w:val="-32"/>
        </w:rPr>
        <w:t xml:space="preserve"> </w:t>
      </w:r>
      <w:r>
        <w:rPr>
          <w:spacing w:val="-1"/>
        </w:rPr>
        <w:t>90%计</w:t>
      </w:r>
      <w:r>
        <w:rPr>
          <w:rFonts w:hint="eastAsia"/>
          <w:spacing w:val="-1"/>
          <w:lang w:eastAsia="zh-CN"/>
        </w:rPr>
        <w:t>，</w:t>
      </w:r>
      <w:r>
        <w:rPr>
          <w:spacing w:val="-1"/>
        </w:rPr>
        <w:t>一般地区可</w:t>
      </w:r>
      <w:r>
        <w:t>按用水定额的</w:t>
      </w:r>
      <w:r>
        <w:rPr>
          <w:spacing w:val="-38"/>
        </w:rPr>
        <w:t xml:space="preserve"> </w:t>
      </w:r>
      <w:r>
        <w:t>80%计。根据桐峪镇当地的</w:t>
      </w:r>
      <w:r>
        <w:rPr>
          <w:rFonts w:hint="eastAsia"/>
          <w:lang w:val="en-US" w:eastAsia="zh-CN"/>
        </w:rPr>
        <w:t>长住人口</w:t>
      </w:r>
      <w:r>
        <w:t>情况</w:t>
      </w:r>
      <w:r>
        <w:rPr>
          <w:rFonts w:hint="eastAsia"/>
          <w:lang w:eastAsia="zh-CN"/>
        </w:rPr>
        <w:t>，</w:t>
      </w:r>
      <w:r>
        <w:rPr>
          <w:rFonts w:hint="eastAsia"/>
        </w:rPr>
        <w:t>2020年桐峪镇区人口规模为8500人；2025年（近期）桐峪镇区人口规模为9000人；2030年（远期）桐峪镇区人口规模为11000人</w:t>
      </w:r>
      <w:r>
        <w:rPr>
          <w:spacing w:val="-2"/>
        </w:rPr>
        <w:t>桐峪镇近期常住人口及流动人口平均</w:t>
      </w:r>
      <w:r>
        <w:rPr>
          <w:spacing w:val="-3"/>
        </w:rPr>
        <w:t>日用水定额为</w:t>
      </w:r>
      <w:r>
        <w:rPr>
          <w:rFonts w:ascii="Times New Roman" w:hAnsi="Times New Roman" w:eastAsia="Times New Roman" w:cs="Times New Roman"/>
          <w:spacing w:val="-8"/>
        </w:rPr>
        <w:t>70L/(</w:t>
      </w:r>
      <w:r>
        <w:rPr>
          <w:spacing w:val="-8"/>
        </w:rPr>
        <w:t>人</w:t>
      </w:r>
      <w:r>
        <w:rPr>
          <w:spacing w:val="-62"/>
        </w:rPr>
        <w:t xml:space="preserve"> </w:t>
      </w:r>
      <w:r>
        <w:rPr>
          <w:rFonts w:ascii="Times New Roman" w:hAnsi="Times New Roman" w:eastAsia="Times New Roman" w:cs="Times New Roman"/>
          <w:spacing w:val="-8"/>
        </w:rPr>
        <w:t xml:space="preserve">·d) </w:t>
      </w:r>
      <w:r>
        <w:rPr>
          <w:spacing w:val="-8"/>
        </w:rPr>
        <w:t>，远期按</w:t>
      </w:r>
      <w:r>
        <w:rPr>
          <w:spacing w:val="-35"/>
        </w:rPr>
        <w:t xml:space="preserve"> </w:t>
      </w:r>
      <w:r>
        <w:rPr>
          <w:rFonts w:ascii="Times New Roman" w:hAnsi="Times New Roman" w:eastAsia="Times New Roman" w:cs="Times New Roman"/>
          <w:spacing w:val="-8"/>
        </w:rPr>
        <w:t>80L/(</w:t>
      </w:r>
      <w:r>
        <w:rPr>
          <w:spacing w:val="-9"/>
        </w:rPr>
        <w:t>人</w:t>
      </w:r>
      <w:r>
        <w:rPr>
          <w:spacing w:val="-71"/>
        </w:rPr>
        <w:t xml:space="preserve"> </w:t>
      </w:r>
      <w:r>
        <w:rPr>
          <w:rFonts w:ascii="Times New Roman" w:hAnsi="Times New Roman" w:eastAsia="Times New Roman" w:cs="Times New Roman"/>
          <w:spacing w:val="-9"/>
        </w:rPr>
        <w:t>·d)</w:t>
      </w:r>
      <w:r>
        <w:rPr>
          <w:spacing w:val="-9"/>
        </w:rPr>
        <w:t>计。</w:t>
      </w:r>
      <w:r>
        <w:t>污水排放系数近期取值</w:t>
      </w:r>
      <w:r>
        <w:rPr>
          <w:spacing w:val="-37"/>
        </w:rPr>
        <w:t xml:space="preserve"> </w:t>
      </w:r>
      <w:r>
        <w:t>0.7，远期取值</w:t>
      </w:r>
      <w:r>
        <w:rPr>
          <w:spacing w:val="-2"/>
        </w:rPr>
        <w:t>0.8；污水收集系数取值</w:t>
      </w:r>
      <w:r>
        <w:rPr>
          <w:spacing w:val="-27"/>
        </w:rPr>
        <w:t xml:space="preserve"> </w:t>
      </w:r>
      <w:r>
        <w:rPr>
          <w:spacing w:val="-2"/>
        </w:rPr>
        <w:t>0.7，远期取值</w:t>
      </w:r>
      <w:r>
        <w:rPr>
          <w:spacing w:val="-39"/>
        </w:rPr>
        <w:t xml:space="preserve"> </w:t>
      </w:r>
      <w:r>
        <w:rPr>
          <w:spacing w:val="-2"/>
        </w:rPr>
        <w:t>0.8。</w:t>
      </w:r>
    </w:p>
    <w:p>
      <w:pPr>
        <w:pStyle w:val="17"/>
        <w:spacing w:before="62" w:line="354" w:lineRule="auto"/>
        <w:ind w:left="118" w:right="96" w:firstLine="472" w:firstLineChars="200"/>
        <w:rPr>
          <w:spacing w:val="-2"/>
        </w:rPr>
      </w:pPr>
      <w:r>
        <w:rPr>
          <w:rFonts w:hint="eastAsia"/>
          <w:spacing w:val="-2"/>
          <w:lang w:val="en-US" w:eastAsia="zh-CN"/>
        </w:rPr>
        <w:t>根据对本项目实际建设情况进行现场勘察及调查，</w:t>
      </w:r>
      <w:r>
        <w:rPr>
          <w:rFonts w:ascii="宋体" w:hAnsi="宋体" w:eastAsia="宋体" w:cs="宋体"/>
        </w:rPr>
        <w:t>本项目</w:t>
      </w:r>
      <w:r>
        <w:rPr>
          <w:rFonts w:hint="eastAsia" w:cs="宋体"/>
          <w:lang w:val="en-US" w:eastAsia="zh-CN"/>
        </w:rPr>
        <w:t>现实际建设规模为300m</w:t>
      </w:r>
      <w:r>
        <w:rPr>
          <w:rFonts w:hint="eastAsia" w:cs="宋体"/>
          <w:vertAlign w:val="superscript"/>
          <w:lang w:val="en-US" w:eastAsia="zh-CN"/>
        </w:rPr>
        <w:t>3</w:t>
      </w:r>
      <w:r>
        <w:rPr>
          <w:rFonts w:hint="eastAsia" w:cs="宋体"/>
          <w:lang w:val="en-US" w:eastAsia="zh-CN"/>
        </w:rPr>
        <w:t>/d，</w:t>
      </w:r>
      <w:r>
        <w:rPr>
          <w:rFonts w:ascii="宋体" w:hAnsi="宋体" w:eastAsia="宋体" w:cs="宋体"/>
        </w:rPr>
        <w:t>污水处理站基本情况汇总</w:t>
      </w:r>
      <w:r>
        <w:rPr>
          <w:spacing w:val="-2"/>
        </w:rPr>
        <w:t>见</w:t>
      </w:r>
      <w:r>
        <w:rPr>
          <w:rFonts w:hint="eastAsia"/>
          <w:spacing w:val="-2"/>
          <w:lang w:val="en-US" w:eastAsia="zh-CN"/>
        </w:rPr>
        <w:t>表1</w:t>
      </w:r>
      <w:r>
        <w:rPr>
          <w:spacing w:val="-2"/>
        </w:rPr>
        <w:t>。</w:t>
      </w:r>
    </w:p>
    <w:p>
      <w:pPr>
        <w:keepNext w:val="0"/>
        <w:keepLines w:val="0"/>
        <w:pageBreakBefore w:val="0"/>
        <w:widowControl w:val="0"/>
        <w:kinsoku/>
        <w:wordWrap/>
        <w:overflowPunct/>
        <w:topLinePunct w:val="0"/>
        <w:autoSpaceDE/>
        <w:autoSpaceDN/>
        <w:bidi w:val="0"/>
        <w:adjustRightInd/>
        <w:snapToGrid w:val="0"/>
        <w:spacing w:line="240" w:lineRule="auto"/>
        <w:ind w:left="2806"/>
        <w:textAlignment w:val="auto"/>
        <w:rPr>
          <w:rFonts w:hint="eastAsia" w:ascii="微软雅黑" w:hAnsi="微软雅黑" w:eastAsia="微软雅黑" w:cs="微软雅黑"/>
          <w:color w:val="818181"/>
          <w:spacing w:val="15"/>
          <w:kern w:val="2"/>
          <w:sz w:val="19"/>
          <w:szCs w:val="19"/>
          <w:lang w:val="en-US" w:eastAsia="zh-CN" w:bidi="ar-SA"/>
        </w:rPr>
      </w:pPr>
      <w:r>
        <w:rPr>
          <w:rFonts w:hint="eastAsia" w:ascii="微软雅黑" w:hAnsi="微软雅黑" w:eastAsia="微软雅黑" w:cs="微软雅黑"/>
          <w:color w:val="818181"/>
          <w:spacing w:val="15"/>
          <w:kern w:val="2"/>
          <w:sz w:val="19"/>
          <w:szCs w:val="19"/>
          <w:lang w:val="en-US" w:eastAsia="zh-CN" w:bidi="ar-SA"/>
        </w:rPr>
        <w:t>表1 本项目污水处理站基本情况汇总</w:t>
      </w:r>
    </w:p>
    <w:tbl>
      <w:tblPr>
        <w:tblStyle w:val="18"/>
        <w:tblW w:w="8493"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0"/>
        <w:gridCol w:w="1195"/>
        <w:gridCol w:w="1138"/>
        <w:gridCol w:w="801"/>
        <w:gridCol w:w="714"/>
        <w:gridCol w:w="1597"/>
        <w:gridCol w:w="1200"/>
        <w:gridCol w:w="7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110" w:type="dxa"/>
            <w:vMerge w:val="restart"/>
            <w:tcBorders>
              <w:top w:val="single" w:color="000000" w:sz="8" w:space="0"/>
              <w:left w:val="single" w:color="000000" w:sz="8" w:space="0"/>
              <w:bottom w:val="nil"/>
            </w:tcBorders>
            <w:vAlign w:val="top"/>
          </w:tcPr>
          <w:p>
            <w:pPr>
              <w:keepNext w:val="0"/>
              <w:keepLines w:val="0"/>
              <w:pageBreakBefore w:val="0"/>
              <w:widowControl w:val="0"/>
              <w:kinsoku/>
              <w:wordWrap/>
              <w:overflowPunct/>
              <w:topLinePunct w:val="0"/>
              <w:autoSpaceDE/>
              <w:autoSpaceDN/>
              <w:bidi w:val="0"/>
              <w:adjustRightInd w:val="0"/>
              <w:snapToGrid w:val="0"/>
              <w:spacing w:line="381" w:lineRule="auto"/>
              <w:textAlignment w:val="auto"/>
              <w:rPr>
                <w:rFonts w:ascii="Arial"/>
                <w:sz w:val="21"/>
              </w:rPr>
            </w:pPr>
          </w:p>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textAlignment w:val="auto"/>
              <w:rPr>
                <w:sz w:val="19"/>
                <w:szCs w:val="19"/>
              </w:rPr>
            </w:pPr>
            <w:r>
              <w:rPr>
                <w:spacing w:val="11"/>
                <w:sz w:val="19"/>
                <w:szCs w:val="19"/>
              </w:rPr>
              <w:t>污水处理站名称</w:t>
            </w:r>
          </w:p>
        </w:tc>
        <w:tc>
          <w:tcPr>
            <w:tcW w:w="2333" w:type="dxa"/>
            <w:gridSpan w:val="2"/>
            <w:tcBorders>
              <w:top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198" w:line="228" w:lineRule="auto"/>
              <w:ind w:left="537"/>
              <w:textAlignment w:val="auto"/>
              <w:rPr>
                <w:sz w:val="19"/>
                <w:szCs w:val="19"/>
              </w:rPr>
            </w:pPr>
            <w:r>
              <w:rPr>
                <w:spacing w:val="9"/>
                <w:sz w:val="19"/>
                <w:szCs w:val="19"/>
              </w:rPr>
              <w:t>污水量（</w:t>
            </w:r>
            <w:r>
              <w:rPr>
                <w:rFonts w:ascii="Times New Roman" w:hAnsi="Times New Roman" w:eastAsia="Times New Roman" w:cs="Times New Roman"/>
                <w:spacing w:val="9"/>
                <w:sz w:val="19"/>
                <w:szCs w:val="19"/>
              </w:rPr>
              <w:t>m</w:t>
            </w:r>
            <w:r>
              <w:rPr>
                <w:rFonts w:ascii="Times New Roman" w:hAnsi="Times New Roman" w:eastAsia="Times New Roman" w:cs="Times New Roman"/>
                <w:spacing w:val="9"/>
                <w:position w:val="5"/>
                <w:sz w:val="12"/>
                <w:szCs w:val="12"/>
              </w:rPr>
              <w:t>3</w:t>
            </w:r>
            <w:r>
              <w:rPr>
                <w:rFonts w:ascii="Times New Roman" w:hAnsi="Times New Roman" w:eastAsia="Times New Roman" w:cs="Times New Roman"/>
                <w:spacing w:val="9"/>
                <w:sz w:val="19"/>
                <w:szCs w:val="19"/>
              </w:rPr>
              <w:t>/d</w:t>
            </w:r>
            <w:r>
              <w:rPr>
                <w:spacing w:val="9"/>
                <w:sz w:val="19"/>
                <w:szCs w:val="19"/>
              </w:rPr>
              <w:t>）</w:t>
            </w:r>
          </w:p>
        </w:tc>
        <w:tc>
          <w:tcPr>
            <w:tcW w:w="1515" w:type="dxa"/>
            <w:gridSpan w:val="2"/>
            <w:tcBorders>
              <w:top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8" w:line="232" w:lineRule="auto"/>
              <w:ind w:right="262"/>
              <w:textAlignment w:val="auto"/>
              <w:rPr>
                <w:sz w:val="19"/>
                <w:szCs w:val="19"/>
              </w:rPr>
            </w:pPr>
            <w:r>
              <w:rPr>
                <w:spacing w:val="11"/>
                <w:sz w:val="19"/>
                <w:szCs w:val="19"/>
              </w:rPr>
              <w:t>设计规模</w:t>
            </w:r>
            <w:r>
              <w:rPr>
                <w:sz w:val="19"/>
                <w:szCs w:val="19"/>
              </w:rPr>
              <w:t xml:space="preserve"> </w:t>
            </w:r>
            <w:r>
              <w:rPr>
                <w:spacing w:val="2"/>
                <w:sz w:val="19"/>
                <w:szCs w:val="19"/>
              </w:rPr>
              <w:t>（</w:t>
            </w:r>
            <w:r>
              <w:rPr>
                <w:rFonts w:ascii="Times New Roman" w:hAnsi="Times New Roman" w:eastAsia="Times New Roman" w:cs="Times New Roman"/>
                <w:spacing w:val="2"/>
                <w:sz w:val="19"/>
                <w:szCs w:val="19"/>
              </w:rPr>
              <w:t>m</w:t>
            </w:r>
            <w:r>
              <w:rPr>
                <w:rFonts w:ascii="Times New Roman" w:hAnsi="Times New Roman" w:eastAsia="Times New Roman" w:cs="Times New Roman"/>
                <w:spacing w:val="2"/>
                <w:position w:val="5"/>
                <w:sz w:val="12"/>
                <w:szCs w:val="12"/>
              </w:rPr>
              <w:t>3</w:t>
            </w:r>
            <w:r>
              <w:rPr>
                <w:rFonts w:ascii="Times New Roman" w:hAnsi="Times New Roman" w:eastAsia="Times New Roman" w:cs="Times New Roman"/>
                <w:spacing w:val="2"/>
                <w:sz w:val="19"/>
                <w:szCs w:val="19"/>
              </w:rPr>
              <w:t>/d</w:t>
            </w:r>
            <w:r>
              <w:rPr>
                <w:spacing w:val="2"/>
                <w:sz w:val="19"/>
                <w:szCs w:val="19"/>
              </w:rPr>
              <w:t>）</w:t>
            </w:r>
          </w:p>
        </w:tc>
        <w:tc>
          <w:tcPr>
            <w:tcW w:w="1597" w:type="dxa"/>
            <w:vMerge w:val="restart"/>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78" w:line="228" w:lineRule="auto"/>
              <w:jc w:val="center"/>
              <w:textAlignment w:val="auto"/>
              <w:rPr>
                <w:rFonts w:hint="default" w:eastAsia="宋体"/>
                <w:sz w:val="19"/>
                <w:szCs w:val="19"/>
                <w:lang w:val="en-US" w:eastAsia="zh-CN"/>
              </w:rPr>
            </w:pPr>
            <w:r>
              <w:rPr>
                <w:rFonts w:hint="eastAsia"/>
                <w:spacing w:val="14"/>
                <w:sz w:val="19"/>
                <w:szCs w:val="19"/>
                <w:lang w:val="en-US" w:eastAsia="zh-CN"/>
              </w:rPr>
              <w:t>实际建设规模</w:t>
            </w:r>
            <w:r>
              <w:rPr>
                <w:spacing w:val="9"/>
                <w:sz w:val="19"/>
                <w:szCs w:val="19"/>
              </w:rPr>
              <w:t>（</w:t>
            </w:r>
            <w:r>
              <w:rPr>
                <w:rFonts w:ascii="Times New Roman" w:hAnsi="Times New Roman" w:eastAsia="Times New Roman" w:cs="Times New Roman"/>
                <w:spacing w:val="9"/>
                <w:sz w:val="19"/>
                <w:szCs w:val="19"/>
              </w:rPr>
              <w:t>m</w:t>
            </w:r>
            <w:r>
              <w:rPr>
                <w:rFonts w:ascii="Times New Roman" w:hAnsi="Times New Roman" w:eastAsia="Times New Roman" w:cs="Times New Roman"/>
                <w:spacing w:val="9"/>
                <w:position w:val="5"/>
                <w:sz w:val="12"/>
                <w:szCs w:val="12"/>
              </w:rPr>
              <w:t>3</w:t>
            </w:r>
            <w:r>
              <w:rPr>
                <w:rFonts w:ascii="Times New Roman" w:hAnsi="Times New Roman" w:eastAsia="Times New Roman" w:cs="Times New Roman"/>
                <w:spacing w:val="9"/>
                <w:sz w:val="19"/>
                <w:szCs w:val="19"/>
              </w:rPr>
              <w:t>/d</w:t>
            </w:r>
            <w:r>
              <w:rPr>
                <w:spacing w:val="9"/>
                <w:sz w:val="19"/>
                <w:szCs w:val="19"/>
              </w:rPr>
              <w:t>）</w:t>
            </w:r>
          </w:p>
        </w:tc>
        <w:tc>
          <w:tcPr>
            <w:tcW w:w="1200" w:type="dxa"/>
            <w:vMerge w:val="restart"/>
            <w:tcBorders>
              <w:top w:val="single" w:color="000000" w:sz="8" w:space="0"/>
              <w:bottom w:val="nil"/>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32" w:lineRule="auto"/>
              <w:ind w:firstLine="212" w:firstLineChars="100"/>
              <w:jc w:val="both"/>
              <w:textAlignment w:val="auto"/>
              <w:rPr>
                <w:sz w:val="19"/>
                <w:szCs w:val="19"/>
              </w:rPr>
            </w:pPr>
            <w:r>
              <w:rPr>
                <w:spacing w:val="11"/>
                <w:sz w:val="19"/>
                <w:szCs w:val="19"/>
              </w:rPr>
              <w:t>处理工艺</w:t>
            </w:r>
          </w:p>
        </w:tc>
        <w:tc>
          <w:tcPr>
            <w:tcW w:w="738" w:type="dxa"/>
            <w:vMerge w:val="restart"/>
            <w:tcBorders>
              <w:top w:val="single" w:color="000000" w:sz="8" w:space="0"/>
              <w:bottom w:val="nil"/>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1" w:lineRule="auto"/>
              <w:ind w:right="160"/>
              <w:jc w:val="both"/>
              <w:textAlignment w:val="auto"/>
              <w:rPr>
                <w:sz w:val="19"/>
                <w:szCs w:val="19"/>
              </w:rPr>
            </w:pPr>
            <w:r>
              <w:rPr>
                <w:spacing w:val="11"/>
                <w:sz w:val="19"/>
                <w:szCs w:val="19"/>
              </w:rPr>
              <w:t>排水去</w:t>
            </w:r>
            <w:r>
              <w:rPr>
                <w:sz w:val="19"/>
                <w:szCs w:val="19"/>
              </w:rPr>
              <w:t>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1110" w:type="dxa"/>
            <w:vMerge w:val="continue"/>
            <w:tcBorders>
              <w:top w:val="nil"/>
              <w:left w:val="single" w:color="000000" w:sz="8" w:space="0"/>
            </w:tcBorders>
            <w:vAlign w:val="top"/>
          </w:tcPr>
          <w:p>
            <w:pPr>
              <w:keepNext w:val="0"/>
              <w:keepLines w:val="0"/>
              <w:pageBreakBefore w:val="0"/>
              <w:widowControl w:val="0"/>
              <w:kinsoku/>
              <w:wordWrap/>
              <w:overflowPunct/>
              <w:topLinePunct w:val="0"/>
              <w:autoSpaceDE/>
              <w:autoSpaceDN/>
              <w:bidi w:val="0"/>
              <w:adjustRightInd w:val="0"/>
              <w:snapToGrid w:val="0"/>
              <w:textAlignment w:val="auto"/>
              <w:rPr>
                <w:rFonts w:ascii="Arial"/>
                <w:sz w:val="21"/>
              </w:rPr>
            </w:pPr>
          </w:p>
        </w:tc>
        <w:tc>
          <w:tcPr>
            <w:tcW w:w="1195" w:type="dxa"/>
            <w:vAlign w:val="top"/>
          </w:tcPr>
          <w:p>
            <w:pPr>
              <w:pStyle w:val="17"/>
              <w:keepNext w:val="0"/>
              <w:keepLines w:val="0"/>
              <w:pageBreakBefore w:val="0"/>
              <w:widowControl w:val="0"/>
              <w:kinsoku/>
              <w:wordWrap/>
              <w:overflowPunct/>
              <w:topLinePunct w:val="0"/>
              <w:autoSpaceDE/>
              <w:autoSpaceDN/>
              <w:bidi w:val="0"/>
              <w:adjustRightInd w:val="0"/>
              <w:snapToGrid w:val="0"/>
              <w:spacing w:before="174"/>
              <w:ind w:left="103" w:right="126" w:hanging="1"/>
              <w:textAlignment w:val="auto"/>
              <w:rPr>
                <w:sz w:val="19"/>
                <w:szCs w:val="19"/>
              </w:rPr>
            </w:pPr>
            <w:r>
              <w:rPr>
                <w:spacing w:val="7"/>
                <w:sz w:val="19"/>
                <w:szCs w:val="19"/>
              </w:rPr>
              <w:t>近期（</w:t>
            </w:r>
            <w:r>
              <w:rPr>
                <w:rFonts w:ascii="Times New Roman" w:hAnsi="Times New Roman" w:eastAsia="Times New Roman" w:cs="Times New Roman"/>
                <w:spacing w:val="7"/>
                <w:sz w:val="19"/>
                <w:szCs w:val="19"/>
              </w:rPr>
              <w:t>2025</w:t>
            </w:r>
            <w:r>
              <w:rPr>
                <w:rFonts w:ascii="Times New Roman" w:hAnsi="Times New Roman" w:eastAsia="Times New Roman" w:cs="Times New Roman"/>
                <w:spacing w:val="2"/>
                <w:sz w:val="19"/>
                <w:szCs w:val="19"/>
              </w:rPr>
              <w:t xml:space="preserve"> </w:t>
            </w:r>
            <w:r>
              <w:rPr>
                <w:sz w:val="19"/>
                <w:szCs w:val="19"/>
              </w:rPr>
              <w:t>年）</w:t>
            </w:r>
          </w:p>
        </w:tc>
        <w:tc>
          <w:tcPr>
            <w:tcW w:w="1138" w:type="dxa"/>
            <w:vAlign w:val="top"/>
          </w:tcPr>
          <w:p>
            <w:pPr>
              <w:pStyle w:val="17"/>
              <w:keepNext w:val="0"/>
              <w:keepLines w:val="0"/>
              <w:pageBreakBefore w:val="0"/>
              <w:widowControl w:val="0"/>
              <w:kinsoku/>
              <w:wordWrap/>
              <w:overflowPunct/>
              <w:topLinePunct w:val="0"/>
              <w:autoSpaceDE/>
              <w:autoSpaceDN/>
              <w:bidi w:val="0"/>
              <w:adjustRightInd w:val="0"/>
              <w:snapToGrid w:val="0"/>
              <w:spacing w:before="174" w:line="229" w:lineRule="auto"/>
              <w:ind w:left="110"/>
              <w:textAlignment w:val="auto"/>
              <w:rPr>
                <w:rFonts w:ascii="Times New Roman" w:hAnsi="Times New Roman" w:eastAsia="Times New Roman" w:cs="Times New Roman"/>
                <w:sz w:val="19"/>
                <w:szCs w:val="19"/>
              </w:rPr>
            </w:pPr>
            <w:r>
              <w:rPr>
                <w:spacing w:val="9"/>
                <w:sz w:val="19"/>
                <w:szCs w:val="19"/>
              </w:rPr>
              <w:t>远期（</w:t>
            </w:r>
            <w:r>
              <w:rPr>
                <w:rFonts w:ascii="Times New Roman" w:hAnsi="Times New Roman" w:eastAsia="Times New Roman" w:cs="Times New Roman"/>
                <w:spacing w:val="9"/>
                <w:sz w:val="19"/>
                <w:szCs w:val="19"/>
              </w:rPr>
              <w:t>2030</w:t>
            </w:r>
          </w:p>
          <w:p>
            <w:pPr>
              <w:pStyle w:val="17"/>
              <w:keepNext w:val="0"/>
              <w:keepLines w:val="0"/>
              <w:pageBreakBefore w:val="0"/>
              <w:widowControl w:val="0"/>
              <w:kinsoku/>
              <w:wordWrap/>
              <w:overflowPunct/>
              <w:topLinePunct w:val="0"/>
              <w:autoSpaceDE/>
              <w:autoSpaceDN/>
              <w:bidi w:val="0"/>
              <w:adjustRightInd w:val="0"/>
              <w:snapToGrid w:val="0"/>
              <w:spacing w:before="23" w:line="228" w:lineRule="auto"/>
              <w:ind w:left="433"/>
              <w:textAlignment w:val="auto"/>
              <w:rPr>
                <w:sz w:val="19"/>
                <w:szCs w:val="19"/>
              </w:rPr>
            </w:pPr>
            <w:r>
              <w:rPr>
                <w:sz w:val="19"/>
                <w:szCs w:val="19"/>
              </w:rPr>
              <w:t>年）</w:t>
            </w:r>
          </w:p>
        </w:tc>
        <w:tc>
          <w:tcPr>
            <w:tcW w:w="801" w:type="dxa"/>
            <w:vAlign w:val="top"/>
          </w:tcPr>
          <w:p>
            <w:pPr>
              <w:pStyle w:val="17"/>
              <w:keepNext w:val="0"/>
              <w:keepLines w:val="0"/>
              <w:pageBreakBefore w:val="0"/>
              <w:widowControl w:val="0"/>
              <w:kinsoku/>
              <w:wordWrap/>
              <w:overflowPunct/>
              <w:topLinePunct w:val="0"/>
              <w:autoSpaceDE/>
              <w:autoSpaceDN/>
              <w:bidi w:val="0"/>
              <w:adjustRightInd w:val="0"/>
              <w:snapToGrid w:val="0"/>
              <w:spacing w:before="301" w:line="229" w:lineRule="auto"/>
              <w:ind w:left="161"/>
              <w:textAlignment w:val="auto"/>
              <w:rPr>
                <w:rFonts w:hint="eastAsia" w:ascii="宋体" w:hAnsi="宋体" w:eastAsia="宋体" w:cs="宋体"/>
                <w:spacing w:val="7"/>
                <w:sz w:val="19"/>
                <w:szCs w:val="19"/>
                <w:lang w:val="en-US" w:eastAsia="zh-CN"/>
              </w:rPr>
            </w:pPr>
            <w:r>
              <w:rPr>
                <w:rFonts w:hint="eastAsia" w:ascii="宋体" w:hAnsi="宋体" w:eastAsia="宋体" w:cs="宋体"/>
                <w:spacing w:val="7"/>
                <w:sz w:val="19"/>
                <w:szCs w:val="19"/>
                <w:lang w:val="en-US" w:eastAsia="zh-CN"/>
              </w:rPr>
              <w:t>近期</w:t>
            </w:r>
          </w:p>
        </w:tc>
        <w:tc>
          <w:tcPr>
            <w:tcW w:w="714" w:type="dxa"/>
            <w:vAlign w:val="top"/>
          </w:tcPr>
          <w:p>
            <w:pPr>
              <w:pStyle w:val="17"/>
              <w:keepNext w:val="0"/>
              <w:keepLines w:val="0"/>
              <w:pageBreakBefore w:val="0"/>
              <w:widowControl w:val="0"/>
              <w:kinsoku/>
              <w:wordWrap/>
              <w:overflowPunct/>
              <w:topLinePunct w:val="0"/>
              <w:autoSpaceDE/>
              <w:autoSpaceDN/>
              <w:bidi w:val="0"/>
              <w:adjustRightInd w:val="0"/>
              <w:snapToGrid w:val="0"/>
              <w:spacing w:before="301" w:line="229" w:lineRule="auto"/>
              <w:ind w:left="161"/>
              <w:textAlignment w:val="auto"/>
              <w:rPr>
                <w:sz w:val="19"/>
                <w:szCs w:val="19"/>
              </w:rPr>
            </w:pPr>
            <w:r>
              <w:rPr>
                <w:spacing w:val="7"/>
                <w:sz w:val="19"/>
                <w:szCs w:val="19"/>
              </w:rPr>
              <w:t>远期</w:t>
            </w:r>
          </w:p>
        </w:tc>
        <w:tc>
          <w:tcPr>
            <w:tcW w:w="1597" w:type="dxa"/>
            <w:vMerge w:val="continue"/>
            <w:vAlign w:val="top"/>
          </w:tcPr>
          <w:p>
            <w:pPr>
              <w:pStyle w:val="17"/>
              <w:keepNext w:val="0"/>
              <w:keepLines w:val="0"/>
              <w:pageBreakBefore w:val="0"/>
              <w:widowControl w:val="0"/>
              <w:kinsoku/>
              <w:wordWrap/>
              <w:overflowPunct/>
              <w:topLinePunct w:val="0"/>
              <w:autoSpaceDE/>
              <w:autoSpaceDN/>
              <w:bidi w:val="0"/>
              <w:adjustRightInd w:val="0"/>
              <w:snapToGrid w:val="0"/>
              <w:spacing w:before="105" w:line="234" w:lineRule="auto"/>
              <w:ind w:right="185"/>
              <w:textAlignment w:val="auto"/>
              <w:rPr>
                <w:sz w:val="19"/>
                <w:szCs w:val="19"/>
              </w:rPr>
            </w:pPr>
          </w:p>
        </w:tc>
        <w:tc>
          <w:tcPr>
            <w:tcW w:w="1200" w:type="dxa"/>
            <w:vMerge w:val="continue"/>
            <w:tcBorders>
              <w:top w:val="nil"/>
            </w:tcBorders>
            <w:vAlign w:val="top"/>
          </w:tcPr>
          <w:p>
            <w:pPr>
              <w:keepNext w:val="0"/>
              <w:keepLines w:val="0"/>
              <w:pageBreakBefore w:val="0"/>
              <w:widowControl w:val="0"/>
              <w:kinsoku/>
              <w:wordWrap/>
              <w:overflowPunct/>
              <w:topLinePunct w:val="0"/>
              <w:autoSpaceDE/>
              <w:autoSpaceDN/>
              <w:bidi w:val="0"/>
              <w:adjustRightInd w:val="0"/>
              <w:snapToGrid w:val="0"/>
              <w:textAlignment w:val="auto"/>
              <w:rPr>
                <w:rFonts w:ascii="Arial"/>
                <w:sz w:val="21"/>
              </w:rPr>
            </w:pPr>
          </w:p>
        </w:tc>
        <w:tc>
          <w:tcPr>
            <w:tcW w:w="738" w:type="dxa"/>
            <w:vMerge w:val="continue"/>
            <w:tcBorders>
              <w:top w:val="nil"/>
              <w:right w:val="single" w:color="000000" w:sz="8" w:space="0"/>
            </w:tcBorders>
            <w:vAlign w:val="top"/>
          </w:tcPr>
          <w:p>
            <w:pPr>
              <w:keepNext w:val="0"/>
              <w:keepLines w:val="0"/>
              <w:pageBreakBefore w:val="0"/>
              <w:widowControl w:val="0"/>
              <w:kinsoku/>
              <w:wordWrap/>
              <w:overflowPunct/>
              <w:topLinePunct w:val="0"/>
              <w:autoSpaceDE/>
              <w:autoSpaceDN/>
              <w:bidi w:val="0"/>
              <w:adjustRightInd w:val="0"/>
              <w:snapToGrid w:val="0"/>
              <w:textAlignment w:val="auto"/>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1110" w:type="dxa"/>
            <w:tcBorders>
              <w:left w:val="single" w:color="000000" w:sz="8" w:space="0"/>
              <w:bottom w:val="single" w:color="000000" w:sz="8" w:space="0"/>
            </w:tcBorders>
            <w:vAlign w:val="top"/>
          </w:tcPr>
          <w:p>
            <w:pPr>
              <w:keepNext w:val="0"/>
              <w:keepLines w:val="0"/>
              <w:pageBreakBefore w:val="0"/>
              <w:widowControl w:val="0"/>
              <w:kinsoku/>
              <w:wordWrap/>
              <w:overflowPunct/>
              <w:topLinePunct w:val="0"/>
              <w:autoSpaceDE/>
              <w:autoSpaceDN/>
              <w:bidi w:val="0"/>
              <w:adjustRightInd w:val="0"/>
              <w:snapToGrid w:val="0"/>
              <w:spacing w:line="291" w:lineRule="auto"/>
              <w:textAlignment w:val="auto"/>
              <w:rPr>
                <w:rFonts w:ascii="Arial"/>
                <w:sz w:val="21"/>
              </w:rPr>
            </w:pPr>
          </w:p>
          <w:p>
            <w:pPr>
              <w:pStyle w:val="17"/>
              <w:keepNext w:val="0"/>
              <w:keepLines w:val="0"/>
              <w:pageBreakBefore w:val="0"/>
              <w:widowControl w:val="0"/>
              <w:kinsoku/>
              <w:wordWrap/>
              <w:overflowPunct/>
              <w:topLinePunct w:val="0"/>
              <w:autoSpaceDE/>
              <w:autoSpaceDN/>
              <w:bidi w:val="0"/>
              <w:adjustRightInd w:val="0"/>
              <w:snapToGrid w:val="0"/>
              <w:spacing w:before="61" w:line="239" w:lineRule="auto"/>
              <w:ind w:right="149"/>
              <w:textAlignment w:val="auto"/>
              <w:rPr>
                <w:sz w:val="19"/>
                <w:szCs w:val="19"/>
              </w:rPr>
            </w:pPr>
            <w:r>
              <w:rPr>
                <w:spacing w:val="14"/>
                <w:sz w:val="19"/>
                <w:szCs w:val="19"/>
              </w:rPr>
              <w:t>桐峪镇污</w:t>
            </w:r>
            <w:r>
              <w:rPr>
                <w:sz w:val="19"/>
                <w:szCs w:val="19"/>
              </w:rPr>
              <w:t xml:space="preserve"> </w:t>
            </w:r>
            <w:r>
              <w:rPr>
                <w:spacing w:val="11"/>
                <w:sz w:val="19"/>
                <w:szCs w:val="19"/>
              </w:rPr>
              <w:t>水处理站</w:t>
            </w:r>
          </w:p>
        </w:tc>
        <w:tc>
          <w:tcPr>
            <w:tcW w:w="1195"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before="55" w:line="195" w:lineRule="auto"/>
              <w:jc w:val="center"/>
              <w:textAlignment w:val="auto"/>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309</w:t>
            </w:r>
          </w:p>
        </w:tc>
        <w:tc>
          <w:tcPr>
            <w:tcW w:w="1138"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before="55" w:line="195" w:lineRule="auto"/>
              <w:jc w:val="center"/>
              <w:textAlignment w:val="auto"/>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563</w:t>
            </w:r>
          </w:p>
        </w:tc>
        <w:tc>
          <w:tcPr>
            <w:tcW w:w="801"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before="55" w:line="195" w:lineRule="auto"/>
              <w:jc w:val="center"/>
              <w:textAlignment w:val="auto"/>
              <w:rPr>
                <w:rFonts w:ascii="宋体" w:hAnsi="宋体" w:eastAsia="宋体" w:cs="宋体"/>
                <w:spacing w:val="7"/>
                <w:kern w:val="2"/>
                <w:sz w:val="19"/>
                <w:szCs w:val="19"/>
                <w:lang w:val="en-US" w:eastAsia="en-US" w:bidi="ar-SA"/>
              </w:rPr>
            </w:pPr>
            <w:r>
              <w:rPr>
                <w:rFonts w:ascii="宋体" w:hAnsi="宋体" w:eastAsia="宋体" w:cs="宋体"/>
                <w:spacing w:val="7"/>
                <w:kern w:val="2"/>
                <w:sz w:val="19"/>
                <w:szCs w:val="19"/>
                <w:lang w:val="en-US" w:eastAsia="en-US" w:bidi="ar-SA"/>
              </w:rPr>
              <w:t>300</w:t>
            </w:r>
          </w:p>
        </w:tc>
        <w:tc>
          <w:tcPr>
            <w:tcW w:w="714"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before="55" w:line="195" w:lineRule="auto"/>
              <w:jc w:val="center"/>
              <w:textAlignment w:val="auto"/>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600</w:t>
            </w:r>
          </w:p>
        </w:tc>
        <w:tc>
          <w:tcPr>
            <w:tcW w:w="1597" w:type="dxa"/>
            <w:tcBorders>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before="55" w:line="195" w:lineRule="auto"/>
              <w:jc w:val="center"/>
              <w:textAlignment w:val="auto"/>
              <w:rPr>
                <w:rFonts w:hint="default" w:ascii="Times New Roman" w:hAnsi="Times New Roman" w:eastAsia="宋体" w:cs="Times New Roman"/>
                <w:sz w:val="19"/>
                <w:szCs w:val="19"/>
                <w:lang w:val="en-US" w:eastAsia="zh-CN"/>
              </w:rPr>
            </w:pPr>
            <w:r>
              <w:rPr>
                <w:rFonts w:hint="eastAsia" w:ascii="Times New Roman" w:hAnsi="Times New Roman" w:eastAsia="宋体" w:cs="Times New Roman"/>
                <w:sz w:val="19"/>
                <w:szCs w:val="19"/>
                <w:lang w:val="en-US" w:eastAsia="zh-CN"/>
              </w:rPr>
              <w:t>300</w:t>
            </w:r>
          </w:p>
        </w:tc>
        <w:tc>
          <w:tcPr>
            <w:tcW w:w="1200" w:type="dxa"/>
            <w:tcBorders>
              <w:bottom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74" w:line="229" w:lineRule="auto"/>
              <w:ind w:left="334"/>
              <w:textAlignment w:val="auto"/>
              <w:rPr>
                <w:sz w:val="19"/>
                <w:szCs w:val="19"/>
              </w:rPr>
            </w:pPr>
            <w:r>
              <w:rPr>
                <w:spacing w:val="10"/>
                <w:sz w:val="19"/>
                <w:szCs w:val="19"/>
              </w:rPr>
              <w:t>预处理</w:t>
            </w:r>
          </w:p>
          <w:p>
            <w:pPr>
              <w:pStyle w:val="17"/>
              <w:keepNext w:val="0"/>
              <w:keepLines w:val="0"/>
              <w:pageBreakBefore w:val="0"/>
              <w:widowControl w:val="0"/>
              <w:kinsoku/>
              <w:wordWrap/>
              <w:overflowPunct/>
              <w:topLinePunct w:val="0"/>
              <w:autoSpaceDE/>
              <w:autoSpaceDN/>
              <w:bidi w:val="0"/>
              <w:adjustRightInd w:val="0"/>
              <w:snapToGrid w:val="0"/>
              <w:spacing w:before="45" w:line="251" w:lineRule="exact"/>
              <w:ind w:left="258"/>
              <w:textAlignment w:val="auto"/>
              <w:rPr>
                <w:sz w:val="19"/>
                <w:szCs w:val="19"/>
              </w:rPr>
            </w:pPr>
            <w:r>
              <w:rPr>
                <w:rFonts w:ascii="Times New Roman" w:hAnsi="Times New Roman" w:eastAsia="Times New Roman" w:cs="Times New Roman"/>
                <w:spacing w:val="16"/>
                <w:position w:val="1"/>
                <w:sz w:val="19"/>
                <w:szCs w:val="19"/>
              </w:rPr>
              <w:t>+A</w:t>
            </w:r>
            <w:r>
              <w:rPr>
                <w:rFonts w:ascii="Times New Roman" w:hAnsi="Times New Roman" w:eastAsia="Times New Roman" w:cs="Times New Roman"/>
                <w:spacing w:val="16"/>
                <w:position w:val="6"/>
                <w:sz w:val="12"/>
                <w:szCs w:val="12"/>
              </w:rPr>
              <w:t>3</w:t>
            </w:r>
            <w:r>
              <w:rPr>
                <w:rFonts w:ascii="Times New Roman" w:hAnsi="Times New Roman" w:eastAsia="Times New Roman" w:cs="Times New Roman"/>
                <w:spacing w:val="-14"/>
                <w:position w:val="6"/>
                <w:sz w:val="12"/>
                <w:szCs w:val="12"/>
              </w:rPr>
              <w:t xml:space="preserve"> </w:t>
            </w:r>
            <w:r>
              <w:rPr>
                <w:rFonts w:ascii="Times New Roman" w:hAnsi="Times New Roman" w:eastAsia="Times New Roman" w:cs="Times New Roman"/>
                <w:spacing w:val="16"/>
                <w:position w:val="1"/>
                <w:sz w:val="19"/>
                <w:szCs w:val="19"/>
              </w:rPr>
              <w:t>/O</w:t>
            </w:r>
            <w:r>
              <w:rPr>
                <w:spacing w:val="16"/>
                <w:position w:val="1"/>
                <w:sz w:val="19"/>
                <w:szCs w:val="19"/>
              </w:rPr>
              <w:t>+</w:t>
            </w:r>
          </w:p>
          <w:p>
            <w:pPr>
              <w:pStyle w:val="17"/>
              <w:keepNext w:val="0"/>
              <w:keepLines w:val="0"/>
              <w:pageBreakBefore w:val="0"/>
              <w:widowControl w:val="0"/>
              <w:kinsoku/>
              <w:wordWrap/>
              <w:overflowPunct/>
              <w:topLinePunct w:val="0"/>
              <w:autoSpaceDE/>
              <w:autoSpaceDN/>
              <w:bidi w:val="0"/>
              <w:adjustRightInd w:val="0"/>
              <w:snapToGrid w:val="0"/>
              <w:spacing w:before="12" w:line="230" w:lineRule="auto"/>
              <w:ind w:left="169"/>
              <w:textAlignment w:val="auto"/>
              <w:rPr>
                <w:sz w:val="19"/>
                <w:szCs w:val="19"/>
              </w:rPr>
            </w:pPr>
            <w:r>
              <w:rPr>
                <w:rFonts w:ascii="Times New Roman" w:hAnsi="Times New Roman" w:eastAsia="Times New Roman" w:cs="Times New Roman"/>
                <w:sz w:val="19"/>
                <w:szCs w:val="19"/>
              </w:rPr>
              <w:t>MBBR</w:t>
            </w:r>
            <w:r>
              <w:rPr>
                <w:rFonts w:ascii="Times New Roman" w:hAnsi="Times New Roman" w:eastAsia="Times New Roman" w:cs="Times New Roman"/>
                <w:spacing w:val="28"/>
                <w:sz w:val="19"/>
                <w:szCs w:val="19"/>
              </w:rPr>
              <w:t>+</w:t>
            </w:r>
            <w:r>
              <w:rPr>
                <w:spacing w:val="28"/>
                <w:sz w:val="19"/>
                <w:szCs w:val="19"/>
              </w:rPr>
              <w:t>消</w:t>
            </w:r>
          </w:p>
          <w:p>
            <w:pPr>
              <w:pStyle w:val="17"/>
              <w:keepNext w:val="0"/>
              <w:keepLines w:val="0"/>
              <w:pageBreakBefore w:val="0"/>
              <w:widowControl w:val="0"/>
              <w:kinsoku/>
              <w:wordWrap/>
              <w:overflowPunct/>
              <w:topLinePunct w:val="0"/>
              <w:autoSpaceDE/>
              <w:autoSpaceDN/>
              <w:bidi w:val="0"/>
              <w:adjustRightInd w:val="0"/>
              <w:snapToGrid w:val="0"/>
              <w:spacing w:before="23" w:line="223" w:lineRule="auto"/>
              <w:ind w:left="545"/>
              <w:textAlignment w:val="auto"/>
              <w:rPr>
                <w:sz w:val="19"/>
                <w:szCs w:val="19"/>
              </w:rPr>
            </w:pPr>
            <w:r>
              <w:rPr>
                <w:sz w:val="19"/>
                <w:szCs w:val="19"/>
              </w:rPr>
              <w:t>毒</w:t>
            </w:r>
          </w:p>
        </w:tc>
        <w:tc>
          <w:tcPr>
            <w:tcW w:w="738" w:type="dxa"/>
            <w:tcBorders>
              <w:bottom w:val="single" w:color="000000" w:sz="8" w:space="0"/>
              <w:right w:val="single" w:color="000000" w:sz="8" w:space="0"/>
            </w:tcBorders>
            <w:vAlign w:val="top"/>
          </w:tcPr>
          <w:p>
            <w:pPr>
              <w:keepNext w:val="0"/>
              <w:keepLines w:val="0"/>
              <w:pageBreakBefore w:val="0"/>
              <w:widowControl w:val="0"/>
              <w:kinsoku/>
              <w:wordWrap/>
              <w:overflowPunct/>
              <w:topLinePunct w:val="0"/>
              <w:autoSpaceDE/>
              <w:autoSpaceDN/>
              <w:bidi w:val="0"/>
              <w:adjustRightInd w:val="0"/>
              <w:snapToGrid w:val="0"/>
              <w:spacing w:line="415" w:lineRule="auto"/>
              <w:textAlignment w:val="auto"/>
              <w:rPr>
                <w:rFonts w:ascii="Arial"/>
                <w:sz w:val="21"/>
              </w:rPr>
            </w:pPr>
          </w:p>
          <w:p>
            <w:pPr>
              <w:pStyle w:val="17"/>
              <w:keepNext w:val="0"/>
              <w:keepLines w:val="0"/>
              <w:pageBreakBefore w:val="0"/>
              <w:widowControl w:val="0"/>
              <w:kinsoku/>
              <w:wordWrap/>
              <w:overflowPunct/>
              <w:topLinePunct w:val="0"/>
              <w:autoSpaceDE/>
              <w:autoSpaceDN/>
              <w:bidi w:val="0"/>
              <w:adjustRightInd w:val="0"/>
              <w:snapToGrid w:val="0"/>
              <w:spacing w:before="62" w:line="228" w:lineRule="auto"/>
              <w:textAlignment w:val="auto"/>
              <w:rPr>
                <w:sz w:val="19"/>
                <w:szCs w:val="19"/>
              </w:rPr>
            </w:pPr>
            <w:r>
              <w:rPr>
                <w:spacing w:val="11"/>
                <w:sz w:val="19"/>
                <w:szCs w:val="19"/>
              </w:rPr>
              <w:t>桐峪河</w:t>
            </w:r>
          </w:p>
        </w:tc>
      </w:tr>
    </w:tbl>
    <w:p>
      <w:pPr>
        <w:pStyle w:val="4"/>
        <w:bidi w:val="0"/>
        <w:ind w:left="0" w:leftChars="0" w:firstLine="0" w:firstLineChars="0"/>
        <w:rPr>
          <w:rFonts w:hint="default"/>
        </w:rPr>
      </w:pPr>
      <w:r>
        <w:rPr>
          <w:rFonts w:hint="default"/>
        </w:rPr>
        <w:t>项目</w:t>
      </w:r>
      <w:r>
        <w:rPr>
          <w:rFonts w:hint="eastAsia"/>
          <w:lang w:val="en-US" w:eastAsia="zh-CN"/>
        </w:rPr>
        <w:t>污水处理工艺</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pacing w:val="-7"/>
          <w:sz w:val="24"/>
          <w:szCs w:val="24"/>
        </w:rPr>
      </w:pPr>
      <w:r>
        <w:rPr>
          <w:rFonts w:hint="eastAsia" w:ascii="宋体" w:hAnsi="宋体" w:eastAsia="宋体" w:cs="宋体"/>
          <w:sz w:val="24"/>
          <w:szCs w:val="24"/>
          <w:lang w:val="en-US" w:eastAsia="zh-CN"/>
        </w:rPr>
        <w:t>本项目污水处理</w:t>
      </w:r>
      <w:r>
        <w:rPr>
          <w:rFonts w:hint="eastAsia" w:ascii="宋体" w:hAnsi="宋体" w:eastAsia="宋体" w:cs="宋体"/>
          <w:sz w:val="24"/>
          <w:szCs w:val="24"/>
        </w:rPr>
        <w:t>工艺</w:t>
      </w:r>
      <w:r>
        <w:rPr>
          <w:rFonts w:hint="eastAsia" w:ascii="宋体" w:hAnsi="宋体" w:eastAsia="宋体" w:cs="宋体"/>
          <w:sz w:val="24"/>
          <w:szCs w:val="24"/>
          <w:lang w:val="en-US" w:eastAsia="zh-CN"/>
        </w:rPr>
        <w:t>采用预处理+A</w:t>
      </w:r>
      <w:r>
        <w:rPr>
          <w:rFonts w:hint="eastAsia" w:ascii="宋体" w:hAnsi="宋体" w:eastAsia="宋体" w:cs="宋体"/>
          <w:sz w:val="24"/>
          <w:szCs w:val="24"/>
          <w:vertAlign w:val="superscript"/>
          <w:lang w:val="en-US" w:eastAsia="zh-CN"/>
        </w:rPr>
        <w:t xml:space="preserve">3 </w:t>
      </w:r>
      <w:r>
        <w:rPr>
          <w:rFonts w:hint="eastAsia" w:ascii="宋体" w:hAnsi="宋体" w:eastAsia="宋体" w:cs="宋体"/>
          <w:sz w:val="24"/>
          <w:szCs w:val="24"/>
          <w:lang w:val="en-US" w:eastAsia="zh-CN"/>
        </w:rPr>
        <w:t>/O+MBBR+消</w:t>
      </w:r>
      <w:r>
        <w:rPr>
          <w:rFonts w:hint="eastAsia" w:ascii="宋体" w:hAnsi="宋体" w:eastAsia="宋体" w:cs="宋体"/>
          <w:sz w:val="24"/>
          <w:szCs w:val="24"/>
        </w:rPr>
        <w:t>毒</w:t>
      </w:r>
      <w:r>
        <w:rPr>
          <w:rFonts w:hint="eastAsia" w:ascii="宋体" w:hAnsi="宋体" w:eastAsia="宋体" w:cs="宋体"/>
          <w:sz w:val="24"/>
          <w:szCs w:val="24"/>
          <w:lang w:eastAsia="zh-CN"/>
        </w:rPr>
        <w:t>，</w:t>
      </w:r>
      <w:r>
        <w:rPr>
          <w:rFonts w:hint="eastAsia" w:ascii="宋体" w:hAnsi="宋体" w:eastAsia="宋体" w:cs="宋体"/>
          <w:sz w:val="24"/>
          <w:szCs w:val="24"/>
        </w:rPr>
        <w:t>是在</w:t>
      </w:r>
      <w:r>
        <w:rPr>
          <w:rFonts w:hint="eastAsia" w:ascii="宋体" w:hAnsi="宋体" w:eastAsia="宋体" w:cs="宋体"/>
          <w:spacing w:val="-41"/>
          <w:sz w:val="24"/>
          <w:szCs w:val="24"/>
        </w:rPr>
        <w:t xml:space="preserve"> </w:t>
      </w:r>
      <w:r>
        <w:rPr>
          <w:rFonts w:hint="eastAsia" w:ascii="宋体" w:hAnsi="宋体" w:eastAsia="宋体" w:cs="宋体"/>
          <w:sz w:val="24"/>
          <w:szCs w:val="24"/>
        </w:rPr>
        <w:t>MBBR的基础上通过明晰预脱</w:t>
      </w:r>
      <w:r>
        <w:rPr>
          <w:rFonts w:hint="eastAsia" w:ascii="宋体" w:hAnsi="宋体" w:eastAsia="宋体" w:cs="宋体"/>
          <w:spacing w:val="-1"/>
          <w:sz w:val="24"/>
          <w:szCs w:val="24"/>
        </w:rPr>
        <w:t>硝区、厌氧区、缺氧区和好氧区的功能</w:t>
      </w:r>
      <w:r>
        <w:rPr>
          <w:rFonts w:hint="eastAsia" w:ascii="宋体" w:hAnsi="宋体" w:eastAsia="宋体" w:cs="宋体"/>
          <w:spacing w:val="-2"/>
          <w:sz w:val="24"/>
          <w:szCs w:val="24"/>
        </w:rPr>
        <w:t>定位，优化污泥回流系统和硝化液回流系统的布局结构，将活性污</w:t>
      </w:r>
      <w:r>
        <w:rPr>
          <w:rFonts w:hint="eastAsia" w:ascii="宋体" w:hAnsi="宋体" w:eastAsia="宋体" w:cs="宋体"/>
          <w:spacing w:val="-3"/>
          <w:sz w:val="24"/>
          <w:szCs w:val="24"/>
        </w:rPr>
        <w:t>泥法和生物接触氧化</w:t>
      </w:r>
      <w:r>
        <w:rPr>
          <w:rFonts w:hint="eastAsia" w:ascii="宋体" w:hAnsi="宋体" w:eastAsia="宋体" w:cs="宋体"/>
          <w:spacing w:val="-1"/>
          <w:sz w:val="24"/>
          <w:szCs w:val="24"/>
        </w:rPr>
        <w:t>法的优势充分结合，在降低</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COD的同时强化</w:t>
      </w:r>
      <w:r>
        <w:rPr>
          <w:rFonts w:hint="eastAsia" w:ascii="宋体" w:hAnsi="宋体" w:eastAsia="宋体" w:cs="宋体"/>
          <w:spacing w:val="-2"/>
          <w:sz w:val="24"/>
          <w:szCs w:val="24"/>
        </w:rPr>
        <w:t>脱氮除磷的效果。在缺氧条件下预脱硝区充分去除入流污水和回流污泥中的硝酸盐和氧气，保证厌氧区的严</w:t>
      </w:r>
      <w:r>
        <w:rPr>
          <w:rFonts w:hint="eastAsia" w:ascii="宋体" w:hAnsi="宋体" w:eastAsia="宋体" w:cs="宋体"/>
          <w:spacing w:val="-3"/>
          <w:sz w:val="24"/>
          <w:szCs w:val="24"/>
        </w:rPr>
        <w:t>格厌氧环境，使得聚</w:t>
      </w:r>
      <w:r>
        <w:rPr>
          <w:rFonts w:hint="eastAsia" w:ascii="宋体" w:hAnsi="宋体" w:eastAsia="宋体" w:cs="宋体"/>
          <w:spacing w:val="-2"/>
          <w:sz w:val="24"/>
          <w:szCs w:val="24"/>
        </w:rPr>
        <w:t>磷菌在厌氧区中释放磷的效率大大提高，确保其在好氧池的吸磷效</w:t>
      </w:r>
      <w:r>
        <w:rPr>
          <w:rFonts w:hint="eastAsia" w:ascii="宋体" w:hAnsi="宋体" w:eastAsia="宋体" w:cs="宋体"/>
          <w:spacing w:val="-3"/>
          <w:sz w:val="24"/>
          <w:szCs w:val="24"/>
        </w:rPr>
        <w:t>率相应得到了充分提</w:t>
      </w:r>
      <w:r>
        <w:rPr>
          <w:rFonts w:hint="eastAsia" w:ascii="宋体" w:hAnsi="宋体" w:eastAsia="宋体" w:cs="宋体"/>
          <w:spacing w:val="-2"/>
          <w:sz w:val="24"/>
          <w:szCs w:val="24"/>
        </w:rPr>
        <w:t>升，通过将硝化液回流至缺氧池强化反应器脱氮能力，进一步实现一体化设备对氮、磷</w:t>
      </w:r>
      <w:r>
        <w:rPr>
          <w:rFonts w:hint="eastAsia" w:ascii="宋体" w:hAnsi="宋体" w:eastAsia="宋体" w:cs="宋体"/>
          <w:spacing w:val="-7"/>
          <w:sz w:val="24"/>
          <w:szCs w:val="24"/>
        </w:rPr>
        <w:t>的高效去除能力。</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eastAsia" w:ascii="宋体" w:hAnsi="宋体" w:eastAsia="宋体" w:cs="宋体"/>
          <w:spacing w:val="-1"/>
          <w:sz w:val="24"/>
          <w:szCs w:val="24"/>
        </w:rPr>
      </w:pPr>
      <w:r>
        <w:rPr>
          <w:rFonts w:hint="eastAsia" w:ascii="宋体" w:hAnsi="宋体" w:eastAsia="宋体" w:cs="宋体"/>
          <w:spacing w:val="4"/>
          <w:sz w:val="24"/>
          <w:szCs w:val="24"/>
        </w:rPr>
        <w:t>生活污水首先经管道汇集至格栅渠去除较大悬浮物后自流到调节池进行均质均量</w:t>
      </w:r>
      <w:r>
        <w:rPr>
          <w:rFonts w:hint="eastAsia" w:ascii="宋体" w:hAnsi="宋体" w:eastAsia="宋体" w:cs="宋体"/>
          <w:spacing w:val="-2"/>
          <w:sz w:val="24"/>
          <w:szCs w:val="24"/>
        </w:rPr>
        <w:t>处理，然后由池内提升泵提升至一体化水处理设备内</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依次经过</w:t>
      </w:r>
      <w:r>
        <w:rPr>
          <w:rFonts w:hint="eastAsia" w:ascii="宋体" w:hAnsi="宋体" w:eastAsia="宋体" w:cs="宋体"/>
          <w:spacing w:val="-3"/>
          <w:sz w:val="24"/>
          <w:szCs w:val="24"/>
        </w:rPr>
        <w:t>预脱硝区﹑厌氧区﹑缺</w:t>
      </w:r>
      <w:r>
        <w:rPr>
          <w:rFonts w:hint="eastAsia" w:ascii="宋体" w:hAnsi="宋体" w:eastAsia="宋体" w:cs="宋体"/>
          <w:spacing w:val="-2"/>
          <w:sz w:val="24"/>
          <w:szCs w:val="24"/>
        </w:rPr>
        <w:t>氧区和好氧区的生化处理后经沉淀区实现泥水分离，沉淀出水最</w:t>
      </w:r>
      <w:r>
        <w:rPr>
          <w:rFonts w:hint="eastAsia" w:ascii="宋体" w:hAnsi="宋体" w:eastAsia="宋体" w:cs="宋体"/>
          <w:spacing w:val="-3"/>
          <w:sz w:val="24"/>
          <w:szCs w:val="24"/>
        </w:rPr>
        <w:t>终通过排放渠紫外消毒</w:t>
      </w:r>
      <w:r>
        <w:rPr>
          <w:rFonts w:hint="eastAsia" w:ascii="宋体" w:hAnsi="宋体" w:eastAsia="宋体" w:cs="宋体"/>
          <w:spacing w:val="-2"/>
          <w:sz w:val="24"/>
          <w:szCs w:val="24"/>
        </w:rPr>
        <w:t>后达标排放。其中混合液由好氧区气提回流至缺氧区，沉淀区的部分</w:t>
      </w:r>
      <w:r>
        <w:rPr>
          <w:rFonts w:hint="eastAsia" w:ascii="宋体" w:hAnsi="宋体" w:eastAsia="宋体" w:cs="宋体"/>
          <w:spacing w:val="-3"/>
          <w:sz w:val="24"/>
          <w:szCs w:val="24"/>
        </w:rPr>
        <w:t>污泥通过气提回流</w:t>
      </w:r>
      <w:r>
        <w:rPr>
          <w:rFonts w:hint="eastAsia" w:ascii="宋体" w:hAnsi="宋体" w:eastAsia="宋体" w:cs="宋体"/>
          <w:spacing w:val="-1"/>
          <w:sz w:val="24"/>
          <w:szCs w:val="24"/>
        </w:rPr>
        <w:t>至预脱硝区循环使用，剩余污泥排入污泥干化池，经干化后的污泥可外运填埋或堆肥。</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污泥驯化：A</w:t>
      </w:r>
      <w:r>
        <w:rPr>
          <w:rFonts w:hint="eastAsia" w:ascii="宋体" w:hAnsi="宋体" w:eastAsia="宋体" w:cs="宋体"/>
          <w:spacing w:val="1"/>
          <w:position w:val="7"/>
          <w:sz w:val="24"/>
          <w:szCs w:val="24"/>
          <w:vertAlign w:val="superscript"/>
        </w:rPr>
        <w:t>3</w:t>
      </w:r>
      <w:r>
        <w:rPr>
          <w:rFonts w:hint="eastAsia" w:ascii="宋体" w:hAnsi="宋体" w:eastAsia="宋体" w:cs="宋体"/>
          <w:spacing w:val="1"/>
          <w:sz w:val="24"/>
          <w:szCs w:val="24"/>
        </w:rPr>
        <w:t>/O＋</w:t>
      </w:r>
      <w:r>
        <w:rPr>
          <w:rFonts w:hint="eastAsia" w:ascii="宋体" w:hAnsi="宋体" w:eastAsia="宋体" w:cs="宋体"/>
          <w:sz w:val="24"/>
          <w:szCs w:val="24"/>
        </w:rPr>
        <w:t>MBBR</w:t>
      </w:r>
      <w:r>
        <w:rPr>
          <w:rFonts w:hint="eastAsia" w:ascii="宋体" w:hAnsi="宋体" w:eastAsia="宋体" w:cs="宋体"/>
          <w:spacing w:val="1"/>
          <w:sz w:val="24"/>
          <w:szCs w:val="24"/>
        </w:rPr>
        <w:t>的污泥驯化和系统启动可采取两种方式</w:t>
      </w:r>
      <w:r>
        <w:rPr>
          <w:rFonts w:hint="eastAsia" w:ascii="宋体" w:hAnsi="宋体" w:eastAsia="宋体" w:cs="宋体"/>
          <w:spacing w:val="1"/>
          <w:sz w:val="24"/>
          <w:szCs w:val="24"/>
          <w:lang w:eastAsia="zh-CN"/>
        </w:rPr>
        <w:t>：</w:t>
      </w:r>
      <w:r>
        <w:rPr>
          <w:rFonts w:hint="eastAsia" w:ascii="宋体" w:hAnsi="宋体" w:eastAsia="宋体" w:cs="宋体"/>
          <w:sz w:val="24"/>
          <w:szCs w:val="24"/>
        </w:rPr>
        <w:t>①投放污泥菌</w:t>
      </w:r>
      <w:r>
        <w:rPr>
          <w:rFonts w:hint="eastAsia" w:ascii="宋体" w:hAnsi="宋体" w:eastAsia="宋体" w:cs="宋体"/>
          <w:spacing w:val="-2"/>
          <w:sz w:val="24"/>
          <w:szCs w:val="24"/>
        </w:rPr>
        <w:t>种启动。设备注满原水（正常运行液位）后，将污泥菌种尽量均匀</w:t>
      </w:r>
      <w:r>
        <w:rPr>
          <w:rFonts w:hint="eastAsia" w:ascii="宋体" w:hAnsi="宋体" w:eastAsia="宋体" w:cs="宋体"/>
          <w:spacing w:val="-3"/>
          <w:sz w:val="24"/>
          <w:szCs w:val="24"/>
        </w:rPr>
        <w:t>地投加到好氧区，混</w:t>
      </w:r>
      <w:r>
        <w:rPr>
          <w:rFonts w:hint="eastAsia" w:ascii="宋体" w:hAnsi="宋体" w:eastAsia="宋体" w:cs="宋体"/>
          <w:spacing w:val="1"/>
          <w:sz w:val="24"/>
          <w:szCs w:val="24"/>
        </w:rPr>
        <w:t>合液污泥浓度控制在</w:t>
      </w:r>
      <w:r>
        <w:rPr>
          <w:rFonts w:hint="eastAsia" w:ascii="宋体" w:hAnsi="宋体" w:eastAsia="宋体" w:cs="宋体"/>
          <w:spacing w:val="-31"/>
          <w:sz w:val="24"/>
          <w:szCs w:val="24"/>
        </w:rPr>
        <w:t xml:space="preserve"> </w:t>
      </w:r>
      <w:r>
        <w:rPr>
          <w:rFonts w:hint="eastAsia" w:ascii="宋体" w:hAnsi="宋体" w:eastAsia="宋体" w:cs="宋体"/>
          <w:spacing w:val="1"/>
          <w:sz w:val="24"/>
          <w:szCs w:val="24"/>
        </w:rPr>
        <w:t>2000~4500</w:t>
      </w:r>
      <w:r>
        <w:rPr>
          <w:rFonts w:hint="eastAsia" w:ascii="宋体" w:hAnsi="宋体" w:eastAsia="宋体" w:cs="宋体"/>
          <w:sz w:val="24"/>
          <w:szCs w:val="24"/>
        </w:rPr>
        <w:t>mg</w:t>
      </w:r>
      <w:r>
        <w:rPr>
          <w:rFonts w:hint="eastAsia" w:ascii="宋体" w:hAnsi="宋体" w:eastAsia="宋体" w:cs="宋体"/>
          <w:spacing w:val="1"/>
          <w:sz w:val="24"/>
          <w:szCs w:val="24"/>
        </w:rPr>
        <w:t>/L范</w:t>
      </w:r>
      <w:r>
        <w:rPr>
          <w:rFonts w:hint="eastAsia" w:ascii="宋体" w:hAnsi="宋体" w:eastAsia="宋体" w:cs="宋体"/>
          <w:sz w:val="24"/>
          <w:szCs w:val="24"/>
        </w:rPr>
        <w:t>围内。投加污泥菌种后，经过闷曝（曝气期间</w:t>
      </w:r>
      <w:r>
        <w:rPr>
          <w:rFonts w:hint="eastAsia" w:ascii="宋体" w:hAnsi="宋体" w:eastAsia="宋体" w:cs="宋体"/>
          <w:spacing w:val="-1"/>
          <w:sz w:val="24"/>
          <w:szCs w:val="24"/>
        </w:rPr>
        <w:t>不进水）2~3 天，曝气期间进水</w:t>
      </w:r>
      <w:r>
        <w:rPr>
          <w:rFonts w:hint="eastAsia" w:ascii="宋体" w:hAnsi="宋体" w:eastAsia="宋体" w:cs="宋体"/>
          <w:spacing w:val="-44"/>
          <w:sz w:val="24"/>
          <w:szCs w:val="24"/>
        </w:rPr>
        <w:t xml:space="preserve"> </w:t>
      </w:r>
      <w:r>
        <w:rPr>
          <w:rFonts w:hint="eastAsia" w:ascii="宋体" w:hAnsi="宋体" w:eastAsia="宋体" w:cs="宋体"/>
          <w:spacing w:val="-1"/>
          <w:sz w:val="24"/>
          <w:szCs w:val="24"/>
        </w:rPr>
        <w:t>4~5天，污</w:t>
      </w:r>
      <w:r>
        <w:rPr>
          <w:rFonts w:hint="eastAsia" w:ascii="宋体" w:hAnsi="宋体" w:eastAsia="宋体" w:cs="宋体"/>
          <w:spacing w:val="-2"/>
          <w:sz w:val="24"/>
          <w:szCs w:val="24"/>
        </w:rPr>
        <w:t>泥驯化和系统启动周期为</w:t>
      </w:r>
      <w:r>
        <w:rPr>
          <w:rFonts w:hint="eastAsia" w:ascii="宋体" w:hAnsi="宋体" w:eastAsia="宋体" w:cs="宋体"/>
          <w:spacing w:val="-44"/>
          <w:sz w:val="24"/>
          <w:szCs w:val="24"/>
        </w:rPr>
        <w:t xml:space="preserve"> </w:t>
      </w:r>
      <w:r>
        <w:rPr>
          <w:rFonts w:hint="eastAsia" w:ascii="宋体" w:hAnsi="宋体" w:eastAsia="宋体" w:cs="宋体"/>
          <w:spacing w:val="-2"/>
          <w:sz w:val="24"/>
          <w:szCs w:val="24"/>
        </w:rPr>
        <w:t>7天左右。②不投放污泥菌种启动，仅依靠原水中污泥进行接种。一般条件下，原水中的污泥浓度不高</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微生物菌种在载体上适应生长繁殖的时间较长</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曝气期间进水的时间相</w:t>
      </w:r>
      <w:r>
        <w:rPr>
          <w:rFonts w:hint="eastAsia" w:ascii="宋体" w:hAnsi="宋体" w:eastAsia="宋体" w:cs="宋体"/>
          <w:spacing w:val="-3"/>
          <w:sz w:val="24"/>
          <w:szCs w:val="24"/>
        </w:rPr>
        <w:t>对较长，系统启动较慢，污泥驯化和系统启动时间大约需要 14 天（水温在</w:t>
      </w:r>
      <w:r>
        <w:rPr>
          <w:rFonts w:hint="eastAsia" w:ascii="宋体" w:hAnsi="宋体" w:eastAsia="宋体" w:cs="宋体"/>
          <w:spacing w:val="-34"/>
          <w:sz w:val="24"/>
          <w:szCs w:val="24"/>
        </w:rPr>
        <w:t xml:space="preserve"> </w:t>
      </w:r>
      <w:r>
        <w:rPr>
          <w:rFonts w:hint="eastAsia" w:ascii="宋体" w:hAnsi="宋体" w:eastAsia="宋体" w:cs="宋体"/>
          <w:spacing w:val="-3"/>
          <w:sz w:val="24"/>
          <w:szCs w:val="24"/>
        </w:rPr>
        <w:t>20~35℃) 。</w:t>
      </w:r>
    </w:p>
    <w:p>
      <w:pPr>
        <w:pStyle w:val="17"/>
        <w:spacing w:before="83" w:line="356" w:lineRule="auto"/>
        <w:ind w:right="100" w:firstLine="480" w:firstLineChars="200"/>
        <w:rPr>
          <w:rFonts w:hint="eastAsia" w:ascii="宋体" w:hAnsi="宋体" w:eastAsia="宋体" w:cs="宋体"/>
          <w:sz w:val="24"/>
          <w:szCs w:val="24"/>
        </w:rPr>
      </w:pPr>
      <w:r>
        <w:rPr>
          <w:rFonts w:hint="eastAsia" w:ascii="宋体" w:hAnsi="宋体" w:eastAsia="宋体" w:cs="宋体"/>
          <w:sz w:val="24"/>
          <w:szCs w:val="24"/>
        </w:rPr>
        <w:t>脱氮除磷效果：基于传统 A</w:t>
      </w:r>
      <w:r>
        <w:rPr>
          <w:rFonts w:hint="eastAsia" w:ascii="宋体" w:hAnsi="宋体" w:eastAsia="宋体" w:cs="宋体"/>
          <w:sz w:val="24"/>
          <w:szCs w:val="24"/>
          <w:vertAlign w:val="superscript"/>
        </w:rPr>
        <w:t>2</w:t>
      </w:r>
      <w:r>
        <w:rPr>
          <w:rFonts w:hint="eastAsia" w:ascii="宋体" w:hAnsi="宋体" w:eastAsia="宋体" w:cs="宋体"/>
          <w:sz w:val="24"/>
          <w:szCs w:val="24"/>
        </w:rPr>
        <w:t>/O工艺在厌氧区前增设一个预脱硝区，采用独创的A</w:t>
      </w:r>
      <w:r>
        <w:rPr>
          <w:rFonts w:hint="eastAsia" w:ascii="宋体" w:hAnsi="宋体" w:eastAsia="宋体" w:cs="宋体"/>
          <w:sz w:val="24"/>
          <w:szCs w:val="24"/>
          <w:vertAlign w:val="superscript"/>
        </w:rPr>
        <w:t>3</w:t>
      </w:r>
      <w:r>
        <w:rPr>
          <w:rFonts w:hint="eastAsia" w:ascii="宋体" w:hAnsi="宋体" w:eastAsia="宋体" w:cs="宋体"/>
          <w:sz w:val="24"/>
          <w:szCs w:val="24"/>
        </w:rPr>
        <w:t>/O+MBBR工艺以提高脱氮除磷效果。首先，沉淀池的污泥回流至预脱硝区，与经过</w:t>
      </w:r>
      <w:r>
        <w:rPr>
          <w:rFonts w:hint="eastAsia" w:ascii="宋体" w:hAnsi="宋体" w:eastAsia="宋体" w:cs="宋体"/>
          <w:spacing w:val="-1"/>
          <w:sz w:val="24"/>
          <w:szCs w:val="24"/>
        </w:rPr>
        <w:t>调节池的来水在预脱硝区进行混合反应，由于</w:t>
      </w:r>
      <w:r>
        <w:rPr>
          <w:rFonts w:hint="eastAsia" w:ascii="宋体" w:hAnsi="宋体" w:eastAsia="宋体" w:cs="宋体"/>
          <w:spacing w:val="-2"/>
          <w:sz w:val="24"/>
          <w:szCs w:val="24"/>
        </w:rPr>
        <w:t>预脱硝区内有机物含量较高，能为反硝化</w:t>
      </w:r>
      <w:r>
        <w:rPr>
          <w:rFonts w:hint="eastAsia" w:ascii="宋体" w:hAnsi="宋体" w:eastAsia="宋体" w:cs="宋体"/>
          <w:spacing w:val="-4"/>
          <w:sz w:val="24"/>
          <w:szCs w:val="24"/>
        </w:rPr>
        <w:t>细菌提供充足碳源，溶解氧含量在</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0.5mg/L以下形成缺氧条件，满足微生物的反硝化作</w:t>
      </w:r>
      <w:r>
        <w:rPr>
          <w:rFonts w:hint="eastAsia" w:ascii="宋体" w:hAnsi="宋体" w:eastAsia="宋体" w:cs="宋体"/>
          <w:spacing w:val="4"/>
          <w:sz w:val="24"/>
          <w:szCs w:val="24"/>
        </w:rPr>
        <w:t>用要求，使得回流污泥中的硝酸盐氮通过反硝化作用得到去除，此阶段总氮去除率为</w:t>
      </w:r>
      <w:r>
        <w:rPr>
          <w:rFonts w:hint="eastAsia" w:ascii="宋体" w:hAnsi="宋体" w:eastAsia="宋体" w:cs="宋体"/>
          <w:spacing w:val="-1"/>
          <w:sz w:val="24"/>
          <w:szCs w:val="24"/>
        </w:rPr>
        <w:t>30%左右。其次，经预脱硝区后污水中的氧含量进一步降低</w:t>
      </w:r>
      <w:r>
        <w:rPr>
          <w:rFonts w:hint="eastAsia" w:ascii="宋体" w:hAnsi="宋体" w:eastAsia="宋体" w:cs="宋体"/>
          <w:spacing w:val="-2"/>
          <w:sz w:val="24"/>
          <w:szCs w:val="24"/>
        </w:rPr>
        <w:t>，满足厌氧区的严格厌氧环</w:t>
      </w:r>
      <w:r>
        <w:rPr>
          <w:rFonts w:hint="eastAsia" w:ascii="宋体" w:hAnsi="宋体" w:eastAsia="宋体" w:cs="宋体"/>
          <w:spacing w:val="-1"/>
          <w:sz w:val="24"/>
          <w:szCs w:val="24"/>
        </w:rPr>
        <w:t>境（DO＜0.2mg/L</w:t>
      </w:r>
      <w:r>
        <w:rPr>
          <w:rFonts w:hint="eastAsia" w:ascii="宋体" w:hAnsi="宋体" w:eastAsia="宋体" w:cs="宋体"/>
          <w:spacing w:val="10"/>
          <w:sz w:val="24"/>
          <w:szCs w:val="24"/>
        </w:rPr>
        <w:t>）</w:t>
      </w:r>
      <w:r>
        <w:rPr>
          <w:rFonts w:hint="eastAsia" w:ascii="宋体" w:hAnsi="宋体" w:eastAsia="宋体" w:cs="宋体"/>
          <w:spacing w:val="10"/>
          <w:sz w:val="24"/>
          <w:szCs w:val="24"/>
          <w:lang w:eastAsia="zh-CN"/>
        </w:rPr>
        <w:t>，</w:t>
      </w:r>
      <w:r>
        <w:rPr>
          <w:rFonts w:hint="eastAsia" w:ascii="宋体" w:hAnsi="宋体" w:eastAsia="宋体" w:cs="宋体"/>
          <w:spacing w:val="-1"/>
          <w:sz w:val="24"/>
          <w:szCs w:val="24"/>
        </w:rPr>
        <w:t>大大提高了聚磷菌在</w:t>
      </w:r>
      <w:r>
        <w:rPr>
          <w:rFonts w:hint="eastAsia" w:ascii="宋体" w:hAnsi="宋体" w:eastAsia="宋体" w:cs="宋体"/>
          <w:spacing w:val="-2"/>
          <w:sz w:val="24"/>
          <w:szCs w:val="24"/>
        </w:rPr>
        <w:t>厌氧区中释放磷的效率。在缺氧区通过创造</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适合反硝化聚磷菌生长的条件，实现同步反硝化和吸磷，回流硝化</w:t>
      </w:r>
      <w:r>
        <w:rPr>
          <w:rFonts w:hint="eastAsia" w:ascii="宋体" w:hAnsi="宋体" w:eastAsia="宋体" w:cs="宋体"/>
          <w:spacing w:val="-3"/>
          <w:sz w:val="24"/>
          <w:szCs w:val="24"/>
        </w:rPr>
        <w:t>液中的污泥不断吸收污水的磷，污水中的总磷得到部分去除。在好氧区填充</w:t>
      </w:r>
      <w:r>
        <w:rPr>
          <w:rFonts w:hint="eastAsia" w:ascii="宋体" w:hAnsi="宋体" w:eastAsia="宋体" w:cs="宋体"/>
          <w:spacing w:val="-31"/>
          <w:sz w:val="24"/>
          <w:szCs w:val="24"/>
        </w:rPr>
        <w:t xml:space="preserve"> </w:t>
      </w:r>
      <w:r>
        <w:rPr>
          <w:rFonts w:hint="eastAsia" w:ascii="宋体" w:hAnsi="宋体" w:eastAsia="宋体" w:cs="宋体"/>
          <w:spacing w:val="-3"/>
          <w:sz w:val="24"/>
          <w:szCs w:val="24"/>
        </w:rPr>
        <w:t>30%左右的高效改性生物填料</w:t>
      </w:r>
      <w:r>
        <w:rPr>
          <w:rFonts w:hint="eastAsia" w:ascii="宋体" w:hAnsi="宋体" w:eastAsia="宋体" w:cs="宋体"/>
          <w:spacing w:val="-3"/>
          <w:sz w:val="24"/>
          <w:szCs w:val="24"/>
          <w:lang w:eastAsia="zh-CN"/>
        </w:rPr>
        <w:t>，</w:t>
      </w:r>
      <w:r>
        <w:rPr>
          <w:rFonts w:hint="eastAsia" w:ascii="宋体" w:hAnsi="宋体" w:eastAsia="宋体" w:cs="宋体"/>
          <w:spacing w:val="-2"/>
          <w:sz w:val="24"/>
          <w:szCs w:val="24"/>
        </w:rPr>
        <w:t>使污泥浓度维持</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2000~4500mg/L之间以提高好氧区的生物量，污水</w:t>
      </w:r>
      <w:r>
        <w:rPr>
          <w:rFonts w:hint="eastAsia" w:ascii="宋体" w:hAnsi="宋体" w:eastAsia="宋体" w:cs="宋体"/>
          <w:spacing w:val="-3"/>
          <w:sz w:val="24"/>
          <w:szCs w:val="24"/>
        </w:rPr>
        <w:t>中大部分氨氮（98%</w:t>
      </w:r>
      <w:r>
        <w:rPr>
          <w:rFonts w:hint="eastAsia" w:ascii="宋体" w:hAnsi="宋体" w:eastAsia="宋体" w:cs="宋体"/>
          <w:spacing w:val="-2"/>
          <w:sz w:val="24"/>
          <w:szCs w:val="24"/>
        </w:rPr>
        <w:t>以上）经硝化反应转化为亚硝酸盐氮和硝酸盐氮，通过硝化液回流</w:t>
      </w:r>
      <w:r>
        <w:rPr>
          <w:rFonts w:hint="eastAsia" w:ascii="宋体" w:hAnsi="宋体" w:eastAsia="宋体" w:cs="宋体"/>
          <w:spacing w:val="-3"/>
          <w:sz w:val="24"/>
          <w:szCs w:val="24"/>
        </w:rPr>
        <w:t>至缺氧池进行反硝化</w:t>
      </w:r>
      <w:r>
        <w:rPr>
          <w:rFonts w:hint="eastAsia" w:ascii="宋体" w:hAnsi="宋体" w:eastAsia="宋体" w:cs="宋体"/>
          <w:spacing w:val="-2"/>
          <w:sz w:val="24"/>
          <w:szCs w:val="24"/>
        </w:rPr>
        <w:t>反应，在缺氧区总氮得到进一步去除；同时在好氧条件下聚磷菌从污水中过量地摄磷，并将磷以聚合的形态贮藏在菌体内，通过污泥排放达到从污水中除</w:t>
      </w:r>
      <w:r>
        <w:rPr>
          <w:rFonts w:hint="eastAsia" w:ascii="宋体" w:hAnsi="宋体" w:eastAsia="宋体" w:cs="宋体"/>
          <w:spacing w:val="-3"/>
          <w:sz w:val="24"/>
          <w:szCs w:val="24"/>
        </w:rPr>
        <w:t>磷的效果。实际运行</w:t>
      </w:r>
      <w:r>
        <w:rPr>
          <w:rFonts w:hint="eastAsia" w:ascii="宋体" w:hAnsi="宋体" w:eastAsia="宋体" w:cs="宋体"/>
          <w:spacing w:val="-4"/>
          <w:sz w:val="24"/>
          <w:szCs w:val="24"/>
        </w:rPr>
        <w:t>结果显示：氨氮去除率在</w:t>
      </w:r>
      <w:r>
        <w:rPr>
          <w:rFonts w:hint="eastAsia" w:ascii="宋体" w:hAnsi="宋体" w:eastAsia="宋体" w:cs="宋体"/>
          <w:spacing w:val="-25"/>
          <w:sz w:val="24"/>
          <w:szCs w:val="24"/>
        </w:rPr>
        <w:t xml:space="preserve"> </w:t>
      </w:r>
      <w:r>
        <w:rPr>
          <w:rFonts w:hint="eastAsia" w:ascii="宋体" w:hAnsi="宋体" w:eastAsia="宋体" w:cs="宋体"/>
          <w:spacing w:val="-4"/>
          <w:sz w:val="24"/>
          <w:szCs w:val="24"/>
        </w:rPr>
        <w:t>98%以上，总磷去除率在</w:t>
      </w:r>
      <w:r>
        <w:rPr>
          <w:rFonts w:hint="eastAsia" w:ascii="宋体" w:hAnsi="宋体" w:eastAsia="宋体" w:cs="宋体"/>
          <w:spacing w:val="-43"/>
          <w:sz w:val="24"/>
          <w:szCs w:val="24"/>
        </w:rPr>
        <w:t xml:space="preserve"> </w:t>
      </w:r>
      <w:r>
        <w:rPr>
          <w:rFonts w:hint="eastAsia" w:ascii="宋体" w:hAnsi="宋体" w:eastAsia="宋体" w:cs="宋体"/>
          <w:spacing w:val="-4"/>
          <w:sz w:val="24"/>
          <w:szCs w:val="24"/>
        </w:rPr>
        <w:t>96%以上，出水中总氮和总磷均优于</w:t>
      </w:r>
      <w:r>
        <w:rPr>
          <w:rFonts w:hint="eastAsia" w:ascii="宋体" w:hAnsi="宋体" w:eastAsia="宋体" w:cs="宋体"/>
          <w:spacing w:val="-1"/>
          <w:sz w:val="24"/>
          <w:szCs w:val="24"/>
        </w:rPr>
        <w:t>《城镇污水处理站污染物排放标准》（GB1891</w:t>
      </w:r>
      <w:r>
        <w:rPr>
          <w:rFonts w:hint="eastAsia" w:ascii="宋体" w:hAnsi="宋体" w:eastAsia="宋体" w:cs="宋体"/>
          <w:spacing w:val="-2"/>
          <w:sz w:val="24"/>
          <w:szCs w:val="24"/>
        </w:rPr>
        <w:t>8-2002）一级</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A标准。</w:t>
      </w:r>
    </w:p>
    <w:p>
      <w:pPr>
        <w:pStyle w:val="4"/>
        <w:bidi w:val="0"/>
        <w:ind w:left="0" w:leftChars="0" w:firstLine="0" w:firstLineChars="0"/>
        <w:rPr>
          <w:rFonts w:hint="default"/>
        </w:rPr>
      </w:pPr>
      <w:r>
        <w:rPr>
          <w:rFonts w:hint="default"/>
        </w:rPr>
        <w:t>项目</w:t>
      </w:r>
      <w:r>
        <w:rPr>
          <w:rFonts w:hint="eastAsia"/>
          <w:lang w:val="en-US" w:eastAsia="zh-CN"/>
        </w:rPr>
        <w:t>污染物排放情况</w:t>
      </w:r>
    </w:p>
    <w:p>
      <w:pPr>
        <w:pStyle w:val="17"/>
        <w:keepNext w:val="0"/>
        <w:keepLines w:val="0"/>
        <w:pageBreakBefore w:val="0"/>
        <w:widowControl w:val="0"/>
        <w:kinsoku/>
        <w:wordWrap/>
        <w:overflowPunct/>
        <w:topLinePunct w:val="0"/>
        <w:autoSpaceDE/>
        <w:autoSpaceDN/>
        <w:bidi w:val="0"/>
        <w:adjustRightInd/>
        <w:snapToGrid/>
        <w:spacing w:line="360" w:lineRule="auto"/>
        <w:ind w:left="624"/>
        <w:textAlignment w:val="auto"/>
        <w:rPr>
          <w:sz w:val="24"/>
          <w:szCs w:val="24"/>
        </w:rPr>
      </w:pPr>
      <w:r>
        <w:rPr>
          <w:spacing w:val="-5"/>
          <w:sz w:val="24"/>
          <w:szCs w:val="24"/>
        </w:rPr>
        <w:t>（</w:t>
      </w:r>
      <w:r>
        <w:rPr>
          <w:rFonts w:ascii="Times New Roman" w:hAnsi="Times New Roman" w:eastAsia="Times New Roman" w:cs="Times New Roman"/>
          <w:spacing w:val="-5"/>
          <w:sz w:val="24"/>
          <w:szCs w:val="24"/>
        </w:rPr>
        <w:t>1</w:t>
      </w:r>
      <w:r>
        <w:rPr>
          <w:spacing w:val="-5"/>
          <w:sz w:val="24"/>
          <w:szCs w:val="24"/>
        </w:rPr>
        <w:t>）设计进水水质</w:t>
      </w:r>
    </w:p>
    <w:p>
      <w:pPr>
        <w:pStyle w:val="17"/>
        <w:keepNext w:val="0"/>
        <w:keepLines w:val="0"/>
        <w:pageBreakBefore w:val="0"/>
        <w:widowControl w:val="0"/>
        <w:kinsoku/>
        <w:wordWrap/>
        <w:overflowPunct/>
        <w:topLinePunct w:val="0"/>
        <w:autoSpaceDE/>
        <w:autoSpaceDN/>
        <w:bidi w:val="0"/>
        <w:adjustRightInd/>
        <w:snapToGrid w:val="0"/>
        <w:spacing w:before="157" w:beforeLines="50" w:line="360" w:lineRule="auto"/>
        <w:ind w:left="125" w:right="96" w:firstLine="476"/>
        <w:jc w:val="both"/>
        <w:textAlignment w:val="auto"/>
        <w:rPr>
          <w:sz w:val="24"/>
          <w:szCs w:val="24"/>
        </w:rPr>
      </w:pPr>
      <w:r>
        <w:rPr>
          <w:spacing w:val="-2"/>
          <w:sz w:val="24"/>
          <w:szCs w:val="24"/>
        </w:rPr>
        <w:t>本项目污水处理站主要接纳污水为居民生活污水，主要来源于居民日常生活排放的</w:t>
      </w:r>
      <w:r>
        <w:rPr>
          <w:spacing w:val="2"/>
          <w:sz w:val="24"/>
          <w:szCs w:val="24"/>
        </w:rPr>
        <w:t xml:space="preserve"> </w:t>
      </w:r>
      <w:r>
        <w:rPr>
          <w:spacing w:val="-2"/>
          <w:sz w:val="24"/>
          <w:szCs w:val="24"/>
        </w:rPr>
        <w:t>卫生间冲洗水、淋浴水、厨房污水及日常清洗废水等，根据陕西大兴工程设计有限责任公司编制的《潼关县桐峪镇污水处理站及配套管网工程可行性研究</w:t>
      </w:r>
      <w:r>
        <w:rPr>
          <w:spacing w:val="-3"/>
          <w:sz w:val="24"/>
          <w:szCs w:val="24"/>
        </w:rPr>
        <w:t>报告》，确定本项目</w:t>
      </w:r>
      <w:r>
        <w:rPr>
          <w:spacing w:val="-4"/>
          <w:sz w:val="24"/>
          <w:szCs w:val="24"/>
        </w:rPr>
        <w:t>进水水质如下表</w:t>
      </w:r>
      <w:r>
        <w:rPr>
          <w:spacing w:val="-26"/>
          <w:sz w:val="24"/>
          <w:szCs w:val="24"/>
        </w:rPr>
        <w:t xml:space="preserve"> </w:t>
      </w:r>
      <w:r>
        <w:rPr>
          <w:rFonts w:hint="eastAsia" w:ascii="Times New Roman" w:hAnsi="Times New Roman" w:cs="Times New Roman"/>
          <w:spacing w:val="-4"/>
          <w:sz w:val="24"/>
          <w:szCs w:val="24"/>
          <w:lang w:val="en-US" w:eastAsia="zh-CN"/>
        </w:rPr>
        <w:t>2</w:t>
      </w:r>
      <w:r>
        <w:rPr>
          <w:rFonts w:ascii="Times New Roman" w:hAnsi="Times New Roman" w:eastAsia="Times New Roman" w:cs="Times New Roman"/>
          <w:spacing w:val="-4"/>
          <w:sz w:val="24"/>
          <w:szCs w:val="24"/>
        </w:rPr>
        <w:t xml:space="preserve"> </w:t>
      </w:r>
      <w:r>
        <w:rPr>
          <w:spacing w:val="-4"/>
          <w:sz w:val="24"/>
          <w:szCs w:val="24"/>
        </w:rPr>
        <w:t>所示。</w:t>
      </w:r>
    </w:p>
    <w:p>
      <w:pPr>
        <w:keepNext w:val="0"/>
        <w:keepLines w:val="0"/>
        <w:pageBreakBefore w:val="0"/>
        <w:widowControl w:val="0"/>
        <w:kinsoku/>
        <w:wordWrap/>
        <w:overflowPunct/>
        <w:topLinePunct w:val="0"/>
        <w:autoSpaceDE/>
        <w:autoSpaceDN/>
        <w:bidi w:val="0"/>
        <w:adjustRightInd/>
        <w:snapToGrid w:val="0"/>
        <w:spacing w:line="240" w:lineRule="auto"/>
        <w:ind w:left="2557"/>
        <w:textAlignment w:val="auto"/>
        <w:rPr>
          <w:rFonts w:ascii="Times New Roman" w:hAnsi="Times New Roman" w:eastAsia="Times New Roman" w:cs="Times New Roman"/>
          <w:sz w:val="19"/>
          <w:szCs w:val="19"/>
        </w:rPr>
      </w:pPr>
      <w:r>
        <w:rPr>
          <w:rFonts w:hint="eastAsia" w:ascii="微软雅黑" w:hAnsi="微软雅黑" w:eastAsia="微软雅黑" w:cs="微软雅黑"/>
          <w:color w:val="818181"/>
          <w:spacing w:val="15"/>
          <w:kern w:val="2"/>
          <w:sz w:val="19"/>
          <w:szCs w:val="19"/>
          <w:lang w:val="en-US" w:eastAsia="zh-CN" w:bidi="ar-SA"/>
        </w:rPr>
        <w:t xml:space="preserve">表2 项目进水水质一览表  </w:t>
      </w:r>
      <w:r>
        <w:rPr>
          <w:rFonts w:ascii="微软雅黑" w:hAnsi="微软雅黑" w:eastAsia="微软雅黑" w:cs="微软雅黑"/>
          <w:color w:val="7E7E7E"/>
          <w:spacing w:val="10"/>
          <w:sz w:val="19"/>
          <w:szCs w:val="19"/>
        </w:rPr>
        <w:t xml:space="preserve">      </w:t>
      </w:r>
      <w:r>
        <w:rPr>
          <w:rFonts w:ascii="微软雅黑" w:hAnsi="微软雅黑" w:eastAsia="微软雅黑" w:cs="微软雅黑"/>
          <w:color w:val="767676"/>
          <w:spacing w:val="10"/>
          <w:sz w:val="19"/>
          <w:szCs w:val="19"/>
        </w:rPr>
        <w:t>单位：</w:t>
      </w:r>
      <w:r>
        <w:rPr>
          <w:rFonts w:ascii="Times New Roman" w:hAnsi="Times New Roman" w:eastAsia="Times New Roman" w:cs="Times New Roman"/>
          <w:b/>
          <w:bCs/>
          <w:position w:val="-2"/>
          <w:sz w:val="19"/>
          <w:szCs w:val="19"/>
        </w:rPr>
        <w:t>mg</w:t>
      </w:r>
      <w:r>
        <w:rPr>
          <w:rFonts w:ascii="Times New Roman" w:hAnsi="Times New Roman" w:eastAsia="Times New Roman" w:cs="Times New Roman"/>
          <w:b/>
          <w:bCs/>
          <w:spacing w:val="10"/>
          <w:position w:val="-2"/>
          <w:sz w:val="19"/>
          <w:szCs w:val="19"/>
        </w:rPr>
        <w:t>/L</w:t>
      </w:r>
    </w:p>
    <w:tbl>
      <w:tblPr>
        <w:tblStyle w:val="18"/>
        <w:tblW w:w="674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0"/>
        <w:gridCol w:w="762"/>
        <w:gridCol w:w="737"/>
        <w:gridCol w:w="700"/>
        <w:gridCol w:w="775"/>
        <w:gridCol w:w="925"/>
        <w:gridCol w:w="788"/>
        <w:gridCol w:w="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1130" w:type="dxa"/>
            <w:tcBorders>
              <w:top w:val="single" w:color="000000" w:sz="8" w:space="0"/>
              <w:lef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水质项目</w:t>
            </w:r>
          </w:p>
        </w:tc>
        <w:tc>
          <w:tcPr>
            <w:tcW w:w="762" w:type="dxa"/>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PH</w:t>
            </w:r>
          </w:p>
        </w:tc>
        <w:tc>
          <w:tcPr>
            <w:tcW w:w="737" w:type="dxa"/>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COD</w:t>
            </w:r>
          </w:p>
        </w:tc>
        <w:tc>
          <w:tcPr>
            <w:tcW w:w="700" w:type="dxa"/>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BOD5</w:t>
            </w:r>
          </w:p>
        </w:tc>
        <w:tc>
          <w:tcPr>
            <w:tcW w:w="775" w:type="dxa"/>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SS</w:t>
            </w:r>
          </w:p>
        </w:tc>
        <w:tc>
          <w:tcPr>
            <w:tcW w:w="925" w:type="dxa"/>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NH3 -N</w:t>
            </w:r>
          </w:p>
        </w:tc>
        <w:tc>
          <w:tcPr>
            <w:tcW w:w="788" w:type="dxa"/>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TN</w:t>
            </w:r>
          </w:p>
        </w:tc>
        <w:tc>
          <w:tcPr>
            <w:tcW w:w="925"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1130" w:type="dxa"/>
            <w:tcBorders>
              <w:left w:val="single" w:color="000000" w:sz="8" w:space="0"/>
              <w:bottom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进水水质</w:t>
            </w:r>
          </w:p>
        </w:tc>
        <w:tc>
          <w:tcPr>
            <w:tcW w:w="762" w:type="dxa"/>
            <w:tcBorders>
              <w:bottom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6~9</w:t>
            </w:r>
          </w:p>
        </w:tc>
        <w:tc>
          <w:tcPr>
            <w:tcW w:w="737" w:type="dxa"/>
            <w:tcBorders>
              <w:bottom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400</w:t>
            </w:r>
          </w:p>
        </w:tc>
        <w:tc>
          <w:tcPr>
            <w:tcW w:w="700" w:type="dxa"/>
            <w:tcBorders>
              <w:bottom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200</w:t>
            </w:r>
          </w:p>
        </w:tc>
        <w:tc>
          <w:tcPr>
            <w:tcW w:w="775" w:type="dxa"/>
            <w:tcBorders>
              <w:bottom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300</w:t>
            </w:r>
          </w:p>
        </w:tc>
        <w:tc>
          <w:tcPr>
            <w:tcW w:w="925" w:type="dxa"/>
            <w:tcBorders>
              <w:bottom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45</w:t>
            </w:r>
          </w:p>
        </w:tc>
        <w:tc>
          <w:tcPr>
            <w:tcW w:w="788" w:type="dxa"/>
            <w:tcBorders>
              <w:bottom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60</w:t>
            </w:r>
          </w:p>
        </w:tc>
        <w:tc>
          <w:tcPr>
            <w:tcW w:w="925" w:type="dxa"/>
            <w:tcBorders>
              <w:bottom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5</w:t>
            </w:r>
          </w:p>
        </w:tc>
      </w:tr>
    </w:tbl>
    <w:p>
      <w:pPr>
        <w:pStyle w:val="17"/>
        <w:keepNext w:val="0"/>
        <w:keepLines w:val="0"/>
        <w:pageBreakBefore w:val="0"/>
        <w:widowControl w:val="0"/>
        <w:numPr>
          <w:ilvl w:val="0"/>
          <w:numId w:val="2"/>
        </w:numPr>
        <w:kinsoku/>
        <w:wordWrap/>
        <w:overflowPunct/>
        <w:topLinePunct w:val="0"/>
        <w:autoSpaceDE/>
        <w:autoSpaceDN/>
        <w:bidi w:val="0"/>
        <w:adjustRightInd/>
        <w:snapToGrid/>
        <w:spacing w:before="53" w:line="360" w:lineRule="auto"/>
        <w:ind w:left="623"/>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出水水质</w:t>
      </w:r>
    </w:p>
    <w:p>
      <w:pPr>
        <w:pStyle w:val="17"/>
        <w:keepNext w:val="0"/>
        <w:keepLines w:val="0"/>
        <w:pageBreakBefore w:val="0"/>
        <w:widowControl w:val="0"/>
        <w:kinsoku/>
        <w:wordWrap/>
        <w:overflowPunct/>
        <w:topLinePunct w:val="0"/>
        <w:autoSpaceDE/>
        <w:autoSpaceDN/>
        <w:bidi w:val="0"/>
        <w:adjustRightInd/>
        <w:snapToGrid w:val="0"/>
        <w:spacing w:before="157" w:beforeLines="50" w:line="360" w:lineRule="auto"/>
        <w:ind w:left="125" w:right="96" w:firstLine="476"/>
        <w:jc w:val="both"/>
        <w:textAlignment w:val="auto"/>
        <w:rPr>
          <w:rFonts w:hint="default" w:eastAsia="宋体"/>
          <w:spacing w:val="-2"/>
          <w:sz w:val="24"/>
          <w:szCs w:val="24"/>
          <w:lang w:val="en-US" w:eastAsia="zh-CN"/>
        </w:rPr>
      </w:pPr>
      <w:r>
        <w:rPr>
          <w:rFonts w:hint="eastAsia"/>
          <w:spacing w:val="-2"/>
          <w:sz w:val="24"/>
          <w:szCs w:val="24"/>
          <w:lang w:val="en-US" w:eastAsia="zh-CN"/>
        </w:rPr>
        <w:t>因本项目建设完成还未投入运行，</w:t>
      </w:r>
      <w:r>
        <w:rPr>
          <w:spacing w:val="-2"/>
          <w:sz w:val="24"/>
          <w:szCs w:val="24"/>
        </w:rPr>
        <w:t>根据陕西大兴工程设计有限责任公司编制的《潼关县桐峪镇污水处理站及配套管网工程可行性研究报告》 ，设计出水水质执行《城镇污水处理厂污染物排放标准》（GB18918-2002）一级 A 标准，出水排入桐峪河。</w:t>
      </w:r>
      <w:r>
        <w:rPr>
          <w:rFonts w:hint="eastAsia"/>
          <w:spacing w:val="-2"/>
          <w:sz w:val="24"/>
          <w:szCs w:val="24"/>
          <w:lang w:val="en-US" w:eastAsia="zh-CN"/>
        </w:rPr>
        <w:t>确定本项目出水水质如下表3所示。</w:t>
      </w:r>
    </w:p>
    <w:p>
      <w:pPr>
        <w:pStyle w:val="17"/>
        <w:keepNext w:val="0"/>
        <w:keepLines w:val="0"/>
        <w:pageBreakBefore w:val="0"/>
        <w:widowControl w:val="0"/>
        <w:kinsoku/>
        <w:wordWrap/>
        <w:overflowPunct/>
        <w:topLinePunct w:val="0"/>
        <w:autoSpaceDE/>
        <w:autoSpaceDN/>
        <w:bidi w:val="0"/>
        <w:adjustRightInd/>
        <w:snapToGrid w:val="0"/>
        <w:spacing w:line="240" w:lineRule="auto"/>
        <w:ind w:left="125" w:right="96" w:firstLine="476"/>
        <w:jc w:val="center"/>
        <w:textAlignment w:val="auto"/>
        <w:rPr>
          <w:rFonts w:hint="eastAsia"/>
          <w:spacing w:val="-2"/>
          <w:sz w:val="24"/>
          <w:szCs w:val="24"/>
        </w:rPr>
      </w:pPr>
      <w:r>
        <w:rPr>
          <w:rFonts w:hint="eastAsia" w:ascii="微软雅黑" w:hAnsi="微软雅黑" w:eastAsia="微软雅黑" w:cs="微软雅黑"/>
          <w:color w:val="949494"/>
          <w:spacing w:val="15"/>
          <w:sz w:val="19"/>
          <w:szCs w:val="19"/>
          <w:lang w:val="en-US" w:eastAsia="zh-CN"/>
        </w:rPr>
        <w:t xml:space="preserve">表3 </w:t>
      </w:r>
      <w:r>
        <w:rPr>
          <w:rFonts w:ascii="微软雅黑" w:hAnsi="微软雅黑" w:eastAsia="微软雅黑" w:cs="微软雅黑"/>
          <w:color w:val="949494"/>
          <w:spacing w:val="15"/>
          <w:sz w:val="19"/>
          <w:szCs w:val="19"/>
        </w:rPr>
        <w:t>本项目污水处理站设计出水.水质指标表</w:t>
      </w:r>
    </w:p>
    <w:tbl>
      <w:tblPr>
        <w:tblStyle w:val="18"/>
        <w:tblW w:w="80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890"/>
        <w:gridCol w:w="56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573" w:type="dxa"/>
            <w:tcBorders>
              <w:top w:val="single" w:color="000000" w:sz="8" w:space="0"/>
              <w:lef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序号</w:t>
            </w:r>
          </w:p>
        </w:tc>
        <w:tc>
          <w:tcPr>
            <w:tcW w:w="1890" w:type="dxa"/>
            <w:tcBorders>
              <w:top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基本控制项目</w:t>
            </w:r>
          </w:p>
        </w:tc>
        <w:tc>
          <w:tcPr>
            <w:tcW w:w="5610" w:type="dxa"/>
            <w:tcBorders>
              <w:top w:val="single" w:color="000000" w:sz="8" w:space="0"/>
              <w:righ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《城镇污水处理厂污染物排放标准》（GB18918-2002）一级A标准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573" w:type="dxa"/>
            <w:tcBorders>
              <w:lef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1</w:t>
            </w:r>
          </w:p>
        </w:tc>
        <w:tc>
          <w:tcPr>
            <w:tcW w:w="1890" w:type="dxa"/>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化学需氧量（COD）</w:t>
            </w:r>
          </w:p>
        </w:tc>
        <w:tc>
          <w:tcPr>
            <w:tcW w:w="5610" w:type="dxa"/>
            <w:tcBorders>
              <w:righ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573" w:type="dxa"/>
            <w:tcBorders>
              <w:lef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2</w:t>
            </w:r>
          </w:p>
        </w:tc>
        <w:tc>
          <w:tcPr>
            <w:tcW w:w="1890" w:type="dxa"/>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生化需氧量（BOD5）</w:t>
            </w:r>
          </w:p>
        </w:tc>
        <w:tc>
          <w:tcPr>
            <w:tcW w:w="5610" w:type="dxa"/>
            <w:tcBorders>
              <w:righ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573" w:type="dxa"/>
            <w:tcBorders>
              <w:lef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3</w:t>
            </w:r>
          </w:p>
        </w:tc>
        <w:tc>
          <w:tcPr>
            <w:tcW w:w="1890" w:type="dxa"/>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悬浮物（SS）</w:t>
            </w:r>
          </w:p>
        </w:tc>
        <w:tc>
          <w:tcPr>
            <w:tcW w:w="5610" w:type="dxa"/>
            <w:tcBorders>
              <w:righ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573" w:type="dxa"/>
            <w:tcBorders>
              <w:lef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4</w:t>
            </w:r>
          </w:p>
        </w:tc>
        <w:tc>
          <w:tcPr>
            <w:tcW w:w="1890" w:type="dxa"/>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总氮（以N  计）</w:t>
            </w:r>
          </w:p>
        </w:tc>
        <w:tc>
          <w:tcPr>
            <w:tcW w:w="5610" w:type="dxa"/>
            <w:tcBorders>
              <w:righ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73" w:type="dxa"/>
            <w:tcBorders>
              <w:lef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5</w:t>
            </w:r>
          </w:p>
        </w:tc>
        <w:tc>
          <w:tcPr>
            <w:tcW w:w="1890" w:type="dxa"/>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氨氮（以N  计）</w:t>
            </w:r>
          </w:p>
        </w:tc>
        <w:tc>
          <w:tcPr>
            <w:tcW w:w="5610" w:type="dxa"/>
            <w:tcBorders>
              <w:righ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573" w:type="dxa"/>
            <w:tcBorders>
              <w:left w:val="single" w:color="000000" w:sz="8" w:space="0"/>
              <w:bottom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6</w:t>
            </w:r>
          </w:p>
        </w:tc>
        <w:tc>
          <w:tcPr>
            <w:tcW w:w="1890" w:type="dxa"/>
            <w:tcBorders>
              <w:bottom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总磷（以P  计）</w:t>
            </w:r>
          </w:p>
        </w:tc>
        <w:tc>
          <w:tcPr>
            <w:tcW w:w="5610" w:type="dxa"/>
            <w:tcBorders>
              <w:bottom w:val="single" w:color="000000" w:sz="8" w:space="0"/>
              <w:right w:val="single" w:color="000000" w:sz="8" w:space="0"/>
            </w:tcBorders>
            <w:vAlign w:val="top"/>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spacing w:val="11"/>
                <w:sz w:val="19"/>
                <w:szCs w:val="19"/>
              </w:rPr>
            </w:pPr>
            <w:r>
              <w:rPr>
                <w:spacing w:val="11"/>
                <w:sz w:val="19"/>
                <w:szCs w:val="19"/>
              </w:rPr>
              <w:t>0.5</w:t>
            </w:r>
          </w:p>
        </w:tc>
      </w:tr>
    </w:tbl>
    <w:p>
      <w:pPr>
        <w:pStyle w:val="3"/>
        <w:bidi w:val="0"/>
        <w:ind w:left="0" w:leftChars="0" w:firstLine="0" w:firstLineChars="0"/>
        <w:rPr>
          <w:rFonts w:hint="default"/>
          <w:color w:val="auto"/>
          <w:lang w:eastAsia="zh-CN"/>
        </w:rPr>
      </w:pPr>
      <w:bookmarkStart w:id="59" w:name="2.1.5.污染物排放量"/>
      <w:bookmarkEnd w:id="59"/>
      <w:bookmarkStart w:id="60" w:name="_Toc15521"/>
      <w:r>
        <w:rPr>
          <w:rFonts w:hint="default"/>
          <w:color w:val="auto"/>
          <w:lang w:eastAsia="zh-CN"/>
        </w:rPr>
        <w:t>污染物排放量</w:t>
      </w:r>
      <w:bookmarkEnd w:id="60"/>
    </w:p>
    <w:p>
      <w:pPr>
        <w:pStyle w:val="17"/>
        <w:keepNext w:val="0"/>
        <w:keepLines w:val="0"/>
        <w:pageBreakBefore w:val="0"/>
        <w:widowControl w:val="0"/>
        <w:kinsoku/>
        <w:wordWrap/>
        <w:overflowPunct/>
        <w:topLinePunct w:val="0"/>
        <w:autoSpaceDE/>
        <w:autoSpaceDN/>
        <w:bidi w:val="0"/>
        <w:adjustRightInd/>
        <w:snapToGrid w:val="0"/>
        <w:spacing w:before="157" w:beforeLines="50" w:line="360" w:lineRule="auto"/>
        <w:ind w:left="142" w:firstLine="468" w:firstLineChars="200"/>
        <w:textAlignment w:val="auto"/>
        <w:rPr>
          <w:spacing w:val="-3"/>
          <w:sz w:val="24"/>
          <w:szCs w:val="24"/>
        </w:rPr>
      </w:pPr>
      <w:r>
        <w:rPr>
          <w:rFonts w:hint="eastAsia" w:ascii="宋体" w:hAnsi="宋体" w:eastAsia="宋体" w:cs="宋体"/>
          <w:spacing w:val="-3"/>
          <w:sz w:val="24"/>
          <w:szCs w:val="24"/>
          <w:lang w:val="en-US" w:eastAsia="zh-CN"/>
        </w:rPr>
        <w:t>本项目实际建设</w:t>
      </w:r>
      <w:r>
        <w:rPr>
          <w:rFonts w:hint="eastAsia" w:ascii="宋体" w:hAnsi="宋体" w:eastAsia="宋体" w:cs="宋体"/>
          <w:spacing w:val="-3"/>
          <w:sz w:val="24"/>
          <w:szCs w:val="24"/>
        </w:rPr>
        <w:t>根据陕西大兴工程设计有限责任公司编制的《潼关县桐峪镇污水处理站及配套管网工程可行性研究报告</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设计出水水质执行</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rPr>
        <w:t>城镇污水处理厂污染物排放标准》（GB18918-2002）一级 A 标准，出水排入桐峪河。</w:t>
      </w:r>
      <w:r>
        <w:rPr>
          <w:rFonts w:hint="eastAsia" w:ascii="宋体" w:hAnsi="宋体" w:eastAsia="宋体" w:cs="宋体"/>
          <w:spacing w:val="-3"/>
          <w:sz w:val="24"/>
          <w:szCs w:val="24"/>
          <w:lang w:val="en-US" w:eastAsia="zh-CN"/>
        </w:rPr>
        <w:t>依据项目实际建设情况，污水处理工艺正常运转情况下计算年污水排放量为10.95万吨，年污染物排放总量</w:t>
      </w:r>
      <w:r>
        <w:rPr>
          <w:rFonts w:hint="eastAsia" w:ascii="宋体" w:hAnsi="宋体" w:eastAsia="宋体" w:cs="宋体"/>
          <w:spacing w:val="-3"/>
          <w:sz w:val="24"/>
          <w:szCs w:val="24"/>
        </w:rPr>
        <w:t>具体指标</w:t>
      </w:r>
      <w:r>
        <w:rPr>
          <w:rFonts w:hint="eastAsia" w:ascii="宋体" w:hAnsi="宋体" w:eastAsia="宋体" w:cs="宋体"/>
          <w:spacing w:val="-3"/>
          <w:sz w:val="24"/>
          <w:szCs w:val="24"/>
          <w:lang w:val="en-US" w:eastAsia="zh-CN"/>
        </w:rPr>
        <w:t>及</w:t>
      </w:r>
      <w:r>
        <w:rPr>
          <w:rFonts w:hint="eastAsia" w:ascii="宋体" w:hAnsi="宋体" w:eastAsia="宋体" w:cs="宋体"/>
          <w:spacing w:val="-3"/>
          <w:sz w:val="24"/>
          <w:szCs w:val="24"/>
        </w:rPr>
        <w:t>详见表</w:t>
      </w:r>
      <w:r>
        <w:rPr>
          <w:rFonts w:hint="eastAsia" w:ascii="宋体" w:hAnsi="宋体" w:eastAsia="宋体" w:cs="宋体"/>
          <w:spacing w:val="-3"/>
          <w:sz w:val="24"/>
          <w:szCs w:val="24"/>
          <w:lang w:val="en-US" w:eastAsia="zh-CN"/>
        </w:rPr>
        <w:t>3</w:t>
      </w:r>
      <w:r>
        <w:rPr>
          <w:spacing w:val="-3"/>
          <w:sz w:val="24"/>
          <w:szCs w:val="24"/>
        </w:rPr>
        <w:t>。</w:t>
      </w:r>
    </w:p>
    <w:p>
      <w:pPr>
        <w:pStyle w:val="17"/>
        <w:keepNext w:val="0"/>
        <w:keepLines w:val="0"/>
        <w:pageBreakBefore w:val="0"/>
        <w:widowControl w:val="0"/>
        <w:kinsoku/>
        <w:wordWrap/>
        <w:overflowPunct/>
        <w:topLinePunct w:val="0"/>
        <w:autoSpaceDE/>
        <w:autoSpaceDN/>
        <w:bidi w:val="0"/>
        <w:adjustRightInd/>
        <w:snapToGrid w:val="0"/>
        <w:spacing w:line="360" w:lineRule="auto"/>
        <w:ind w:left="142" w:firstLine="440" w:firstLineChars="200"/>
        <w:jc w:val="center"/>
        <w:textAlignment w:val="auto"/>
        <w:rPr>
          <w:rFonts w:ascii="微软雅黑" w:hAnsi="微软雅黑" w:eastAsia="微软雅黑" w:cs="微软雅黑"/>
          <w:sz w:val="19"/>
          <w:szCs w:val="19"/>
        </w:rPr>
      </w:pPr>
      <w:r>
        <w:rPr>
          <w:rFonts w:ascii="微软雅黑" w:hAnsi="微软雅黑" w:eastAsia="微软雅黑" w:cs="微软雅黑"/>
          <w:color w:val="818181"/>
          <w:spacing w:val="15"/>
          <w:sz w:val="19"/>
          <w:szCs w:val="19"/>
        </w:rPr>
        <w:t>表</w:t>
      </w:r>
      <w:r>
        <w:rPr>
          <w:rFonts w:hint="eastAsia" w:ascii="微软雅黑" w:hAnsi="微软雅黑" w:eastAsia="微软雅黑" w:cs="微软雅黑"/>
          <w:color w:val="818181"/>
          <w:spacing w:val="15"/>
          <w:sz w:val="19"/>
          <w:szCs w:val="19"/>
          <w:lang w:val="en-US" w:eastAsia="zh-CN"/>
        </w:rPr>
        <w:t xml:space="preserve">3 </w:t>
      </w:r>
      <w:r>
        <w:rPr>
          <w:rFonts w:ascii="微软雅黑" w:hAnsi="微软雅黑" w:eastAsia="微软雅黑" w:cs="微软雅黑"/>
          <w:color w:val="949494"/>
          <w:spacing w:val="15"/>
          <w:sz w:val="19"/>
          <w:szCs w:val="19"/>
        </w:rPr>
        <w:t>本项目污水处理站设计出水.水质</w:t>
      </w:r>
      <w:r>
        <w:rPr>
          <w:rFonts w:hint="eastAsia" w:ascii="微软雅黑" w:hAnsi="微软雅黑" w:eastAsia="微软雅黑" w:cs="微软雅黑"/>
          <w:color w:val="949494"/>
          <w:spacing w:val="15"/>
          <w:sz w:val="19"/>
          <w:szCs w:val="19"/>
          <w:lang w:val="en-US" w:eastAsia="zh-CN"/>
        </w:rPr>
        <w:t>浓度</w:t>
      </w:r>
      <w:r>
        <w:rPr>
          <w:rFonts w:ascii="微软雅黑" w:hAnsi="微软雅黑" w:eastAsia="微软雅黑" w:cs="微软雅黑"/>
          <w:color w:val="949494"/>
          <w:spacing w:val="15"/>
          <w:sz w:val="19"/>
          <w:szCs w:val="19"/>
        </w:rPr>
        <w:t>指标</w:t>
      </w:r>
      <w:r>
        <w:rPr>
          <w:rFonts w:hint="eastAsia" w:ascii="微软雅黑" w:hAnsi="微软雅黑" w:eastAsia="微软雅黑" w:cs="微软雅黑"/>
          <w:color w:val="949494"/>
          <w:spacing w:val="15"/>
          <w:sz w:val="19"/>
          <w:szCs w:val="19"/>
          <w:lang w:val="en-US" w:eastAsia="zh-CN"/>
        </w:rPr>
        <w:t>及总量</w:t>
      </w:r>
      <w:r>
        <w:rPr>
          <w:rFonts w:ascii="微软雅黑" w:hAnsi="微软雅黑" w:eastAsia="微软雅黑" w:cs="微软雅黑"/>
          <w:color w:val="949494"/>
          <w:spacing w:val="15"/>
          <w:sz w:val="19"/>
          <w:szCs w:val="19"/>
        </w:rPr>
        <w:t>表</w:t>
      </w:r>
    </w:p>
    <w:tbl>
      <w:tblPr>
        <w:tblStyle w:val="18"/>
        <w:tblW w:w="8105"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913"/>
        <w:gridCol w:w="1550"/>
        <w:gridCol w:w="1837"/>
        <w:gridCol w:w="2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05" w:type="dxa"/>
            <w:tcBorders>
              <w:top w:val="single" w:color="000000" w:sz="8" w:space="0"/>
              <w:lef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rPr>
            </w:pPr>
            <w:r>
              <w:rPr>
                <w:rFonts w:hint="eastAsia"/>
                <w:spacing w:val="11"/>
                <w:sz w:val="19"/>
                <w:szCs w:val="19"/>
              </w:rPr>
              <w:t>序号</w:t>
            </w:r>
          </w:p>
        </w:tc>
        <w:tc>
          <w:tcPr>
            <w:tcW w:w="1913" w:type="dxa"/>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rPr>
            </w:pPr>
            <w:r>
              <w:rPr>
                <w:rFonts w:hint="eastAsia"/>
                <w:spacing w:val="11"/>
                <w:sz w:val="19"/>
                <w:szCs w:val="19"/>
              </w:rPr>
              <w:t>基本控制项目</w:t>
            </w:r>
          </w:p>
        </w:tc>
        <w:tc>
          <w:tcPr>
            <w:tcW w:w="1550"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val="en-US" w:eastAsia="zh-CN"/>
              </w:rPr>
            </w:pPr>
            <w:r>
              <w:rPr>
                <w:rFonts w:hint="eastAsia"/>
                <w:spacing w:val="11"/>
                <w:sz w:val="19"/>
                <w:szCs w:val="19"/>
                <w:lang w:val="en-US" w:eastAsia="zh-CN"/>
              </w:rPr>
              <w:t>排放浓度</w:t>
            </w:r>
            <w:r>
              <w:rPr>
                <w:color w:val="auto"/>
                <w:spacing w:val="-6"/>
                <w:sz w:val="19"/>
                <w:szCs w:val="19"/>
              </w:rPr>
              <w:t>(mg/L)</w:t>
            </w:r>
          </w:p>
        </w:tc>
        <w:tc>
          <w:tcPr>
            <w:tcW w:w="1837"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val="en-US" w:eastAsia="en-US"/>
              </w:rPr>
            </w:pPr>
            <w:r>
              <w:rPr>
                <w:rFonts w:hint="eastAsia"/>
                <w:spacing w:val="11"/>
                <w:sz w:val="19"/>
                <w:szCs w:val="19"/>
              </w:rPr>
              <w:t>年污水排放量(t)</w:t>
            </w:r>
          </w:p>
        </w:tc>
        <w:tc>
          <w:tcPr>
            <w:tcW w:w="2200"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val="en-US" w:eastAsia="en-US"/>
              </w:rPr>
            </w:pPr>
            <w:r>
              <w:rPr>
                <w:rFonts w:hint="eastAsia"/>
                <w:spacing w:val="11"/>
                <w:sz w:val="19"/>
                <w:szCs w:val="19"/>
              </w:rPr>
              <w:t>年污染物排放总量(t)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49" w:hRule="atLeast"/>
        </w:trPr>
        <w:tc>
          <w:tcPr>
            <w:tcW w:w="605" w:type="dxa"/>
            <w:tcBorders>
              <w:left w:val="single" w:color="000000" w:sz="8" w:space="0"/>
            </w:tcBorders>
            <w:vAlign w:val="center"/>
          </w:tcPr>
          <w:p>
            <w:pPr>
              <w:spacing w:before="147" w:line="195"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1</w:t>
            </w:r>
          </w:p>
        </w:tc>
        <w:tc>
          <w:tcPr>
            <w:tcW w:w="1913" w:type="dxa"/>
            <w:vAlign w:val="center"/>
          </w:tcPr>
          <w:p>
            <w:pPr>
              <w:pStyle w:val="17"/>
              <w:spacing w:before="116" w:line="227" w:lineRule="auto"/>
              <w:ind w:left="105"/>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化学需氧量（COD）</w:t>
            </w:r>
          </w:p>
        </w:tc>
        <w:tc>
          <w:tcPr>
            <w:tcW w:w="1550" w:type="dxa"/>
            <w:tcBorders>
              <w:right w:val="single" w:color="000000" w:sz="8" w:space="0"/>
            </w:tcBorders>
            <w:vAlign w:val="center"/>
          </w:tcPr>
          <w:p>
            <w:pPr>
              <w:spacing w:before="147" w:line="195"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50</w:t>
            </w:r>
          </w:p>
        </w:tc>
        <w:tc>
          <w:tcPr>
            <w:tcW w:w="1837" w:type="dxa"/>
            <w:vMerge w:val="restart"/>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en-US" w:bidi="ar-SA"/>
              </w:rPr>
              <w:t>10.95 万</w:t>
            </w:r>
          </w:p>
        </w:tc>
        <w:tc>
          <w:tcPr>
            <w:tcW w:w="2200" w:type="dxa"/>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en-US" w:bidi="ar-SA"/>
              </w:rPr>
              <w:t>5.48t/a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49" w:hRule="atLeast"/>
        </w:trPr>
        <w:tc>
          <w:tcPr>
            <w:tcW w:w="605" w:type="dxa"/>
            <w:tcBorders>
              <w:left w:val="single" w:color="000000" w:sz="8" w:space="0"/>
            </w:tcBorders>
            <w:vAlign w:val="center"/>
          </w:tcPr>
          <w:p>
            <w:pPr>
              <w:spacing w:before="168" w:line="195" w:lineRule="auto"/>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2</w:t>
            </w:r>
          </w:p>
        </w:tc>
        <w:tc>
          <w:tcPr>
            <w:tcW w:w="1913" w:type="dxa"/>
            <w:vAlign w:val="center"/>
          </w:tcPr>
          <w:p>
            <w:pPr>
              <w:pStyle w:val="17"/>
              <w:spacing w:before="137" w:line="227" w:lineRule="auto"/>
              <w:ind w:left="307"/>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总氮（以N计）</w:t>
            </w:r>
          </w:p>
        </w:tc>
        <w:tc>
          <w:tcPr>
            <w:tcW w:w="1550" w:type="dxa"/>
            <w:tcBorders>
              <w:right w:val="single" w:color="000000" w:sz="8" w:space="0"/>
            </w:tcBorders>
            <w:vAlign w:val="center"/>
          </w:tcPr>
          <w:p>
            <w:pPr>
              <w:spacing w:before="168" w:line="195"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15</w:t>
            </w:r>
          </w:p>
        </w:tc>
        <w:tc>
          <w:tcPr>
            <w:tcW w:w="1837" w:type="dxa"/>
            <w:vMerge w:val="continue"/>
            <w:tcBorders>
              <w:right w:val="single" w:color="000000" w:sz="8" w:space="0"/>
            </w:tcBorders>
            <w:vAlign w:val="center"/>
          </w:tcPr>
          <w:p>
            <w:pPr>
              <w:spacing w:before="168" w:line="195" w:lineRule="auto"/>
              <w:jc w:val="center"/>
              <w:rPr>
                <w:rFonts w:hint="eastAsia" w:ascii="宋体" w:hAnsi="宋体" w:eastAsia="宋体" w:cs="宋体"/>
                <w:spacing w:val="11"/>
                <w:kern w:val="2"/>
                <w:sz w:val="19"/>
                <w:szCs w:val="19"/>
                <w:lang w:val="en-US" w:eastAsia="en-US" w:bidi="ar-SA"/>
              </w:rPr>
            </w:pPr>
          </w:p>
        </w:tc>
        <w:tc>
          <w:tcPr>
            <w:tcW w:w="2200" w:type="dxa"/>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1.64t/a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49" w:hRule="atLeast"/>
        </w:trPr>
        <w:tc>
          <w:tcPr>
            <w:tcW w:w="605" w:type="dxa"/>
            <w:tcBorders>
              <w:left w:val="single" w:color="000000" w:sz="8" w:space="0"/>
            </w:tcBorders>
            <w:vAlign w:val="center"/>
          </w:tcPr>
          <w:p>
            <w:pPr>
              <w:spacing w:before="174" w:line="192" w:lineRule="auto"/>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3</w:t>
            </w:r>
          </w:p>
        </w:tc>
        <w:tc>
          <w:tcPr>
            <w:tcW w:w="1913" w:type="dxa"/>
            <w:vAlign w:val="center"/>
          </w:tcPr>
          <w:p>
            <w:pPr>
              <w:pStyle w:val="17"/>
              <w:spacing w:before="139" w:line="227" w:lineRule="auto"/>
              <w:ind w:left="294"/>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氨氮（以N计）</w:t>
            </w:r>
          </w:p>
        </w:tc>
        <w:tc>
          <w:tcPr>
            <w:tcW w:w="1550" w:type="dxa"/>
            <w:tcBorders>
              <w:right w:val="single" w:color="000000" w:sz="8" w:space="0"/>
            </w:tcBorders>
            <w:vAlign w:val="center"/>
          </w:tcPr>
          <w:p>
            <w:pPr>
              <w:pStyle w:val="17"/>
              <w:spacing w:before="149" w:line="230"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5</w:t>
            </w:r>
          </w:p>
        </w:tc>
        <w:tc>
          <w:tcPr>
            <w:tcW w:w="1837" w:type="dxa"/>
            <w:vMerge w:val="continue"/>
            <w:tcBorders>
              <w:right w:val="single" w:color="000000" w:sz="8" w:space="0"/>
            </w:tcBorders>
            <w:vAlign w:val="center"/>
          </w:tcPr>
          <w:p>
            <w:pPr>
              <w:pStyle w:val="17"/>
              <w:spacing w:before="149" w:line="230" w:lineRule="auto"/>
              <w:jc w:val="center"/>
              <w:rPr>
                <w:rFonts w:hint="eastAsia" w:ascii="宋体" w:hAnsi="宋体" w:eastAsia="宋体" w:cs="宋体"/>
                <w:spacing w:val="11"/>
                <w:kern w:val="2"/>
                <w:sz w:val="19"/>
                <w:szCs w:val="19"/>
                <w:lang w:val="en-US" w:eastAsia="en-US" w:bidi="ar-SA"/>
              </w:rPr>
            </w:pPr>
          </w:p>
        </w:tc>
        <w:tc>
          <w:tcPr>
            <w:tcW w:w="2200" w:type="dxa"/>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0.55</w:t>
            </w:r>
            <w:r>
              <w:rPr>
                <w:rFonts w:hint="eastAsia" w:ascii="宋体" w:hAnsi="宋体" w:eastAsia="宋体" w:cs="宋体"/>
                <w:spacing w:val="11"/>
                <w:kern w:val="2"/>
                <w:sz w:val="19"/>
                <w:szCs w:val="19"/>
                <w:lang w:val="en-US" w:eastAsia="en-US" w:bidi="ar-SA"/>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49" w:hRule="atLeast"/>
        </w:trPr>
        <w:tc>
          <w:tcPr>
            <w:tcW w:w="605" w:type="dxa"/>
            <w:tcBorders>
              <w:left w:val="single" w:color="000000" w:sz="8" w:space="0"/>
              <w:bottom w:val="single" w:color="000000" w:sz="8" w:space="0"/>
            </w:tcBorders>
            <w:vAlign w:val="center"/>
          </w:tcPr>
          <w:p>
            <w:pPr>
              <w:spacing w:before="159" w:line="195" w:lineRule="auto"/>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4</w:t>
            </w:r>
          </w:p>
        </w:tc>
        <w:tc>
          <w:tcPr>
            <w:tcW w:w="1913" w:type="dxa"/>
            <w:tcBorders>
              <w:bottom w:val="single" w:color="000000" w:sz="8" w:space="0"/>
            </w:tcBorders>
            <w:vAlign w:val="center"/>
          </w:tcPr>
          <w:p>
            <w:pPr>
              <w:pStyle w:val="17"/>
              <w:spacing w:before="127" w:line="228" w:lineRule="auto"/>
              <w:ind w:left="324"/>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总磷（以P计）</w:t>
            </w:r>
          </w:p>
        </w:tc>
        <w:tc>
          <w:tcPr>
            <w:tcW w:w="1550" w:type="dxa"/>
            <w:tcBorders>
              <w:bottom w:val="single" w:color="000000" w:sz="8" w:space="0"/>
              <w:right w:val="single" w:color="000000" w:sz="8" w:space="0"/>
            </w:tcBorders>
            <w:vAlign w:val="center"/>
          </w:tcPr>
          <w:p>
            <w:pPr>
              <w:spacing w:before="159" w:line="195"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0.5</w:t>
            </w:r>
          </w:p>
        </w:tc>
        <w:tc>
          <w:tcPr>
            <w:tcW w:w="1837" w:type="dxa"/>
            <w:vMerge w:val="continue"/>
            <w:tcBorders>
              <w:bottom w:val="single" w:color="000000" w:sz="8" w:space="0"/>
              <w:right w:val="single" w:color="000000" w:sz="8" w:space="0"/>
            </w:tcBorders>
            <w:vAlign w:val="center"/>
          </w:tcPr>
          <w:p>
            <w:pPr>
              <w:spacing w:before="159" w:line="195" w:lineRule="auto"/>
              <w:jc w:val="center"/>
              <w:rPr>
                <w:rFonts w:hint="eastAsia" w:ascii="宋体" w:hAnsi="宋体" w:eastAsia="宋体" w:cs="宋体"/>
                <w:spacing w:val="11"/>
                <w:kern w:val="2"/>
                <w:sz w:val="19"/>
                <w:szCs w:val="19"/>
                <w:lang w:val="en-US" w:eastAsia="en-US" w:bidi="ar-SA"/>
              </w:rPr>
            </w:pPr>
          </w:p>
        </w:tc>
        <w:tc>
          <w:tcPr>
            <w:tcW w:w="2200" w:type="dxa"/>
            <w:tcBorders>
              <w:bottom w:val="single" w:color="000000" w:sz="8" w:space="0"/>
              <w:right w:val="single" w:color="000000" w:sz="8" w:space="0"/>
            </w:tcBorders>
            <w:vAlign w:val="center"/>
          </w:tcPr>
          <w:p>
            <w:pPr>
              <w:spacing w:before="159" w:line="195"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0.05t/a</w:t>
            </w:r>
          </w:p>
        </w:tc>
      </w:tr>
    </w:tbl>
    <w:p>
      <w:pPr>
        <w:pStyle w:val="3"/>
        <w:bidi w:val="0"/>
        <w:ind w:left="0" w:leftChars="0" w:firstLine="0" w:firstLineChars="0"/>
        <w:rPr>
          <w:rFonts w:hint="default"/>
          <w:color w:val="auto"/>
          <w:lang w:eastAsia="zh-CN"/>
        </w:rPr>
      </w:pPr>
      <w:bookmarkStart w:id="61" w:name="2.1.7.论证范围主要排污口及现状情况"/>
      <w:bookmarkEnd w:id="61"/>
      <w:bookmarkStart w:id="62" w:name="_Toc32625"/>
      <w:bookmarkStart w:id="63" w:name="_Toc32763"/>
      <w:r>
        <w:rPr>
          <w:rFonts w:hint="default"/>
          <w:color w:val="auto"/>
          <w:lang w:eastAsia="zh-CN"/>
        </w:rPr>
        <w:t>论证范围主要排污口及现状情况</w:t>
      </w:r>
      <w:bookmarkEnd w:id="62"/>
    </w:p>
    <w:p>
      <w:pPr>
        <w:keepNext w:val="0"/>
        <w:keepLines w:val="0"/>
        <w:pageBreakBefore w:val="0"/>
        <w:widowControl w:val="0"/>
        <w:kinsoku/>
        <w:wordWrap/>
        <w:overflowPunct/>
        <w:topLinePunct w:val="0"/>
        <w:autoSpaceDE/>
        <w:autoSpaceDN/>
        <w:bidi w:val="0"/>
        <w:adjustRightInd/>
        <w:snapToGrid/>
        <w:spacing w:line="520" w:lineRule="exact"/>
        <w:ind w:left="0" w:right="0"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按照《入河排污口管理技术导则》（SL532-2011）要求，入河排污口设置论证范围应根据其影响范围和程度确定。受入河排污口设置影响的主要水域和其影响范围内的第三方取、用水户原则上应纳入论证范围。对地表水的影响论证以水功能区为基础单元，论证重点区域为入河排污口所在水功能区和可能受到影响的周边水功能区。</w:t>
      </w:r>
    </w:p>
    <w:p>
      <w:pPr>
        <w:keepNext w:val="0"/>
        <w:keepLines w:val="0"/>
        <w:pageBreakBefore w:val="0"/>
        <w:widowControl w:val="0"/>
        <w:kinsoku/>
        <w:wordWrap/>
        <w:overflowPunct/>
        <w:topLinePunct w:val="0"/>
        <w:autoSpaceDE/>
        <w:autoSpaceDN/>
        <w:bidi w:val="0"/>
        <w:adjustRightInd/>
        <w:snapToGrid/>
        <w:spacing w:line="520" w:lineRule="exact"/>
        <w:ind w:left="0" w:right="0" w:firstLine="468" w:firstLineChars="200"/>
        <w:jc w:val="left"/>
        <w:textAlignment w:val="auto"/>
        <w:rPr>
          <w:rFonts w:hint="eastAsia"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pacing w:val="-3"/>
          <w:sz w:val="24"/>
          <w:szCs w:val="24"/>
          <w:highlight w:val="none"/>
        </w:rPr>
        <w:t>按照</w:t>
      </w:r>
      <w:r>
        <w:rPr>
          <w:rFonts w:hint="default" w:ascii="Times New Roman" w:hAnsi="Times New Roman" w:eastAsia="宋体" w:cs="Times New Roman"/>
          <w:sz w:val="24"/>
          <w:szCs w:val="24"/>
          <w:highlight w:val="none"/>
        </w:rPr>
        <w:t>2004</w:t>
      </w:r>
      <w:r>
        <w:rPr>
          <w:rFonts w:hint="default" w:ascii="Times New Roman" w:hAnsi="Times New Roman" w:eastAsia="宋体" w:cs="Times New Roman"/>
          <w:spacing w:val="-4"/>
          <w:sz w:val="24"/>
          <w:szCs w:val="24"/>
          <w:highlight w:val="none"/>
        </w:rPr>
        <w:t>年陕政办发〔2004〕100</w:t>
      </w:r>
      <w:r>
        <w:rPr>
          <w:rFonts w:hint="default" w:ascii="Times New Roman" w:hAnsi="Times New Roman" w:eastAsia="宋体" w:cs="Times New Roman"/>
          <w:sz w:val="24"/>
          <w:szCs w:val="24"/>
          <w:highlight w:val="none"/>
        </w:rPr>
        <w:t>号《陕西省人民政府办公厅关于印发陕西省水功能区划的通知》的内容</w:t>
      </w:r>
      <w:r>
        <w:rPr>
          <w:rFonts w:hint="eastAsia" w:ascii="Times New Roman" w:hAnsi="Times New Roman" w:eastAsia="宋体" w:cs="Times New Roman"/>
          <w:sz w:val="24"/>
          <w:szCs w:val="24"/>
          <w:highlight w:val="none"/>
          <w:lang w:val="en-US" w:eastAsia="zh-CN"/>
        </w:rPr>
        <w:t>及2023年陕环发</w:t>
      </w:r>
      <w:r>
        <w:rPr>
          <w:rFonts w:hint="default" w:ascii="Times New Roman" w:hAnsi="Times New Roman" w:eastAsia="宋体" w:cs="Times New Roman"/>
          <w:spacing w:val="-4"/>
          <w:sz w:val="24"/>
          <w:szCs w:val="24"/>
          <w:highlight w:val="none"/>
        </w:rPr>
        <w:t>〔</w:t>
      </w:r>
      <w:r>
        <w:rPr>
          <w:rFonts w:hint="eastAsia" w:ascii="Times New Roman" w:hAnsi="Times New Roman" w:eastAsia="宋体" w:cs="Times New Roman"/>
          <w:spacing w:val="-4"/>
          <w:sz w:val="24"/>
          <w:szCs w:val="24"/>
          <w:highlight w:val="none"/>
          <w:lang w:val="en-US" w:eastAsia="zh-CN"/>
        </w:rPr>
        <w:t>2023</w:t>
      </w:r>
      <w:r>
        <w:rPr>
          <w:rFonts w:hint="default" w:ascii="Times New Roman" w:hAnsi="Times New Roman" w:eastAsia="宋体" w:cs="Times New Roman"/>
          <w:spacing w:val="-4"/>
          <w:sz w:val="24"/>
          <w:szCs w:val="24"/>
          <w:highlight w:val="none"/>
        </w:rPr>
        <w:t>〕</w:t>
      </w:r>
      <w:r>
        <w:rPr>
          <w:rFonts w:hint="eastAsia" w:ascii="Times New Roman" w:hAnsi="Times New Roman" w:eastAsia="宋体" w:cs="Times New Roman"/>
          <w:spacing w:val="-4"/>
          <w:sz w:val="24"/>
          <w:szCs w:val="24"/>
          <w:highlight w:val="none"/>
          <w:lang w:val="en-US" w:eastAsia="zh-CN"/>
        </w:rPr>
        <w:t>22</w:t>
      </w:r>
      <w:r>
        <w:rPr>
          <w:rFonts w:hint="default" w:ascii="Times New Roman" w:hAnsi="Times New Roman" w:eastAsia="宋体" w:cs="Times New Roman"/>
          <w:sz w:val="24"/>
          <w:szCs w:val="24"/>
          <w:highlight w:val="none"/>
        </w:rPr>
        <w:t>号</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陕西省生态环境厅关于规范我省入河排污口设置审批工作的通知</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的内容。</w:t>
      </w:r>
      <w:r>
        <w:rPr>
          <w:rFonts w:hint="eastAsia" w:ascii="Times New Roman" w:hAnsi="Times New Roman" w:eastAsia="宋体" w:cs="Times New Roman"/>
          <w:kern w:val="2"/>
          <w:sz w:val="24"/>
          <w:szCs w:val="24"/>
          <w:highlight w:val="none"/>
          <w:lang w:val="en-US" w:eastAsia="zh-CN" w:bidi="ar-SA"/>
        </w:rPr>
        <w:t>本项目排污口设在桐峪河，桐峪镇居民生活污水经本项目收集处理后排放至桐峪河后汇入双桥河流入黄河，</w:t>
      </w:r>
      <w:r>
        <w:rPr>
          <w:rFonts w:hint="default" w:ascii="Times New Roman" w:hAnsi="Times New Roman" w:eastAsia="宋体" w:cs="Times New Roman"/>
          <w:kern w:val="2"/>
          <w:sz w:val="24"/>
          <w:szCs w:val="24"/>
          <w:highlight w:val="none"/>
          <w:lang w:val="en-US" w:eastAsia="zh-CN" w:bidi="ar-SA"/>
        </w:rPr>
        <w:t>因此主要受入河排污口设置影响的主要</w:t>
      </w:r>
      <w:r>
        <w:rPr>
          <w:rFonts w:hint="eastAsia" w:ascii="Times New Roman" w:hAnsi="Times New Roman" w:eastAsia="宋体" w:cs="Times New Roman"/>
          <w:kern w:val="2"/>
          <w:sz w:val="24"/>
          <w:szCs w:val="24"/>
          <w:highlight w:val="none"/>
          <w:lang w:val="en-US" w:eastAsia="zh-CN" w:bidi="ar-SA"/>
        </w:rPr>
        <w:t>为三河口桥断面</w:t>
      </w:r>
      <w:r>
        <w:rPr>
          <w:rFonts w:hint="default" w:ascii="Times New Roman" w:hAnsi="Times New Roman" w:eastAsia="宋体" w:cs="Times New Roman"/>
          <w:kern w:val="2"/>
          <w:sz w:val="24"/>
          <w:szCs w:val="24"/>
          <w:highlight w:val="none"/>
          <w:lang w:val="en-US" w:eastAsia="zh-CN" w:bidi="ar-SA"/>
        </w:rPr>
        <w:t>，影响区域为</w:t>
      </w:r>
      <w:r>
        <w:rPr>
          <w:rFonts w:hint="eastAsia" w:ascii="Times New Roman" w:hAnsi="Times New Roman" w:eastAsia="宋体" w:cs="Times New Roman"/>
          <w:kern w:val="2"/>
          <w:sz w:val="24"/>
          <w:szCs w:val="24"/>
          <w:highlight w:val="none"/>
          <w:lang w:val="en-US" w:eastAsia="zh-CN" w:bidi="ar-SA"/>
        </w:rPr>
        <w:t>陕豫缓冲区，双桥河陕豫缓冲区自入黄口至源头(太峪)</w:t>
      </w:r>
      <w:r>
        <w:rPr>
          <w:rFonts w:hint="default" w:ascii="Times New Roman" w:hAnsi="Times New Roman" w:eastAsia="宋体" w:cs="Times New Roman"/>
          <w:kern w:val="2"/>
          <w:sz w:val="24"/>
          <w:szCs w:val="24"/>
          <w:highlight w:val="none"/>
          <w:lang w:val="en-US" w:eastAsia="zh-CN" w:bidi="ar-SA"/>
        </w:rPr>
        <w:t>全长</w:t>
      </w:r>
      <w:r>
        <w:rPr>
          <w:rFonts w:hint="eastAsia" w:ascii="Times New Roman" w:hAnsi="Times New Roman" w:eastAsia="宋体" w:cs="Times New Roman"/>
          <w:kern w:val="2"/>
          <w:sz w:val="24"/>
          <w:szCs w:val="24"/>
          <w:highlight w:val="none"/>
          <w:lang w:val="en-US" w:eastAsia="zh-CN" w:bidi="ar-SA"/>
        </w:rPr>
        <w:t>24</w:t>
      </w:r>
      <w:r>
        <w:rPr>
          <w:rFonts w:hint="default" w:ascii="Times New Roman" w:hAnsi="Times New Roman" w:eastAsia="宋体" w:cs="Times New Roman"/>
          <w:kern w:val="2"/>
          <w:sz w:val="24"/>
          <w:szCs w:val="24"/>
          <w:highlight w:val="none"/>
          <w:lang w:val="en-US" w:eastAsia="zh-CN" w:bidi="ar-SA"/>
        </w:rPr>
        <w:t>公里，水质目标按地表水</w:t>
      </w:r>
      <w:r>
        <w:rPr>
          <w:rFonts w:hint="eastAsia" w:ascii="宋体" w:hAnsi="宋体" w:eastAsia="宋体" w:cs="宋体"/>
          <w:kern w:val="2"/>
          <w:sz w:val="24"/>
          <w:szCs w:val="24"/>
          <w:highlight w:val="none"/>
          <w:lang w:val="en-US" w:eastAsia="zh-CN" w:bidi="ar-SA"/>
        </w:rPr>
        <w:t>Ⅲ</w:t>
      </w:r>
      <w:r>
        <w:rPr>
          <w:rFonts w:hint="default" w:ascii="Times New Roman" w:hAnsi="Times New Roman" w:eastAsia="宋体" w:cs="Times New Roman"/>
          <w:kern w:val="2"/>
          <w:sz w:val="24"/>
          <w:szCs w:val="24"/>
          <w:highlight w:val="none"/>
          <w:lang w:val="en-US" w:eastAsia="zh-CN" w:bidi="ar-SA"/>
        </w:rPr>
        <w:t>类标准控制。在编制过程中要充分</w:t>
      </w:r>
      <w:r>
        <w:rPr>
          <w:rFonts w:hint="eastAsia" w:ascii="Times New Roman" w:hAnsi="Times New Roman" w:eastAsia="宋体" w:cs="Times New Roman"/>
          <w:kern w:val="2"/>
          <w:sz w:val="24"/>
          <w:szCs w:val="24"/>
          <w:highlight w:val="none"/>
          <w:lang w:val="en-US" w:eastAsia="zh-CN" w:bidi="ar-SA"/>
        </w:rPr>
        <w:t>分析</w:t>
      </w:r>
      <w:r>
        <w:rPr>
          <w:rFonts w:hint="default" w:ascii="Times New Roman" w:hAnsi="Times New Roman" w:eastAsia="宋体" w:cs="Times New Roman"/>
          <w:kern w:val="2"/>
          <w:sz w:val="24"/>
          <w:szCs w:val="24"/>
          <w:highlight w:val="none"/>
          <w:lang w:val="en-US" w:eastAsia="zh-CN" w:bidi="ar-SA"/>
        </w:rPr>
        <w:t>排污口设置对国考</w:t>
      </w:r>
      <w:r>
        <w:rPr>
          <w:rFonts w:hint="eastAsia" w:ascii="Times New Roman" w:hAnsi="Times New Roman" w:eastAsia="宋体" w:cs="Times New Roman"/>
          <w:kern w:val="2"/>
          <w:sz w:val="24"/>
          <w:szCs w:val="24"/>
          <w:highlight w:val="none"/>
          <w:lang w:val="en-US" w:eastAsia="zh-CN" w:bidi="ar-SA"/>
        </w:rPr>
        <w:t>三河口</w:t>
      </w:r>
      <w:r>
        <w:rPr>
          <w:rFonts w:hint="default" w:ascii="Times New Roman" w:hAnsi="Times New Roman" w:eastAsia="宋体" w:cs="Times New Roman"/>
          <w:kern w:val="2"/>
          <w:sz w:val="24"/>
          <w:szCs w:val="24"/>
          <w:highlight w:val="none"/>
          <w:lang w:val="en-US" w:eastAsia="zh-CN" w:bidi="ar-SA"/>
        </w:rPr>
        <w:t>断面的影响，本次论证水体的水功能区为</w:t>
      </w:r>
      <w:r>
        <w:rPr>
          <w:rFonts w:hint="eastAsia" w:ascii="Times New Roman" w:hAnsi="Times New Roman" w:eastAsia="宋体" w:cs="Times New Roman"/>
          <w:kern w:val="2"/>
          <w:sz w:val="24"/>
          <w:szCs w:val="24"/>
          <w:highlight w:val="none"/>
          <w:lang w:val="en-US" w:eastAsia="zh-CN" w:bidi="ar-SA"/>
        </w:rPr>
        <w:t>双桥河陕豫缓冲区</w:t>
      </w:r>
      <w:r>
        <w:rPr>
          <w:rFonts w:hint="eastAsia" w:ascii="Times New Roman" w:hAnsi="Times New Roman" w:eastAsia="宋体" w:cs="Times New Roman"/>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Times New Roman" w:hAnsi="Times New Roman" w:eastAsia="宋体" w:cs="Times New Roman"/>
          <w:kern w:val="2"/>
          <w:sz w:val="24"/>
          <w:szCs w:val="24"/>
          <w:highlight w:val="none"/>
          <w:lang w:val="en-US" w:eastAsia="zh-CN" w:bidi="ar-SA"/>
        </w:rPr>
        <w:t>本项目排污口位置位于</w:t>
      </w:r>
      <w:r>
        <w:rPr>
          <w:rFonts w:hint="default" w:ascii="Times New Roman" w:hAnsi="Times New Roman" w:eastAsia="宋体" w:cs="Times New Roman"/>
          <w:kern w:val="2"/>
          <w:sz w:val="24"/>
          <w:szCs w:val="24"/>
          <w:highlight w:val="none"/>
          <w:lang w:val="en-US" w:eastAsia="zh-CN" w:bidi="ar-SA"/>
        </w:rPr>
        <w:t>国考</w:t>
      </w:r>
      <w:r>
        <w:rPr>
          <w:rFonts w:hint="eastAsia" w:ascii="Times New Roman" w:hAnsi="Times New Roman" w:eastAsia="宋体" w:cs="Times New Roman"/>
          <w:kern w:val="2"/>
          <w:sz w:val="24"/>
          <w:szCs w:val="24"/>
          <w:highlight w:val="none"/>
          <w:lang w:val="en-US" w:eastAsia="zh-CN" w:bidi="ar-SA"/>
        </w:rPr>
        <w:t>三河口</w:t>
      </w:r>
      <w:r>
        <w:rPr>
          <w:rFonts w:hint="default" w:ascii="Times New Roman" w:hAnsi="Times New Roman" w:eastAsia="宋体" w:cs="Times New Roman"/>
          <w:kern w:val="2"/>
          <w:sz w:val="24"/>
          <w:szCs w:val="24"/>
          <w:highlight w:val="none"/>
          <w:lang w:val="en-US" w:eastAsia="zh-CN" w:bidi="ar-SA"/>
        </w:rPr>
        <w:t>断面</w:t>
      </w:r>
      <w:r>
        <w:rPr>
          <w:rFonts w:hint="eastAsia" w:ascii="Times New Roman" w:hAnsi="Times New Roman" w:eastAsia="宋体" w:cs="Times New Roman"/>
          <w:kern w:val="2"/>
          <w:sz w:val="24"/>
          <w:szCs w:val="24"/>
          <w:highlight w:val="none"/>
          <w:lang w:val="en-US" w:eastAsia="zh-CN" w:bidi="ar-SA"/>
        </w:rPr>
        <w:t>（双桥河）支流，汇入该断面的水体分别有太峪河（双桥河陕豫缓冲区源头）、桐峪河及西峪河，三河汇聚的位置三河桥。</w:t>
      </w:r>
      <w:r>
        <w:rPr>
          <w:rFonts w:hint="default" w:ascii="Times New Roman" w:hAnsi="Times New Roman" w:eastAsia="宋体" w:cs="Times New Roman"/>
          <w:kern w:val="2"/>
          <w:sz w:val="24"/>
          <w:szCs w:val="24"/>
          <w:highlight w:val="none"/>
          <w:lang w:val="en-US" w:eastAsia="zh-CN" w:bidi="ar-SA"/>
        </w:rPr>
        <w:t>因此本次</w:t>
      </w:r>
      <w:r>
        <w:rPr>
          <w:rFonts w:hint="eastAsia" w:ascii="Times New Roman" w:hAnsi="Times New Roman" w:eastAsia="宋体" w:cs="Times New Roman"/>
          <w:kern w:val="2"/>
          <w:sz w:val="24"/>
          <w:szCs w:val="24"/>
          <w:highlight w:val="none"/>
          <w:lang w:val="en-US" w:eastAsia="zh-CN" w:bidi="ar-SA"/>
        </w:rPr>
        <w:t>分析</w:t>
      </w:r>
      <w:r>
        <w:rPr>
          <w:rFonts w:hint="default" w:ascii="Times New Roman" w:hAnsi="Times New Roman" w:eastAsia="宋体" w:cs="Times New Roman"/>
          <w:kern w:val="2"/>
          <w:sz w:val="24"/>
          <w:szCs w:val="24"/>
          <w:highlight w:val="none"/>
          <w:lang w:val="en-US" w:eastAsia="zh-CN" w:bidi="ar-SA"/>
        </w:rPr>
        <w:t>范围</w:t>
      </w:r>
      <w:r>
        <w:rPr>
          <w:rFonts w:hint="eastAsia" w:ascii="Times New Roman" w:hAnsi="Times New Roman" w:eastAsia="宋体" w:cs="Times New Roman"/>
          <w:kern w:val="2"/>
          <w:sz w:val="24"/>
          <w:szCs w:val="24"/>
          <w:highlight w:val="none"/>
          <w:lang w:val="en-US" w:eastAsia="zh-CN" w:bidi="ar-SA"/>
        </w:rPr>
        <w:t>主要</w:t>
      </w:r>
      <w:r>
        <w:rPr>
          <w:rFonts w:hint="default" w:ascii="Times New Roman" w:hAnsi="Times New Roman" w:eastAsia="宋体" w:cs="Times New Roman"/>
          <w:kern w:val="2"/>
          <w:sz w:val="24"/>
          <w:szCs w:val="24"/>
          <w:highlight w:val="none"/>
          <w:lang w:val="en-US" w:eastAsia="zh-CN" w:bidi="ar-SA"/>
        </w:rPr>
        <w:t>为</w:t>
      </w:r>
      <w:r>
        <w:rPr>
          <w:rFonts w:hint="eastAsia" w:ascii="Times New Roman" w:hAnsi="Times New Roman" w:eastAsia="宋体" w:cs="Times New Roman"/>
          <w:kern w:val="2"/>
          <w:sz w:val="24"/>
          <w:szCs w:val="24"/>
          <w:highlight w:val="none"/>
          <w:lang w:val="en-US" w:eastAsia="zh-CN" w:bidi="ar-SA"/>
        </w:rPr>
        <w:t>桐峪河</w:t>
      </w:r>
      <w:r>
        <w:rPr>
          <w:rFonts w:hint="eastAsia" w:ascii="Times New Roman" w:hAnsi="Times New Roman" w:eastAsia="宋体" w:cs="Times New Roman"/>
          <w:kern w:val="2"/>
          <w:sz w:val="24"/>
          <w:szCs w:val="24"/>
          <w:highlight w:val="none"/>
          <w:lang w:val="en-US" w:eastAsia="zh-CN" w:bidi="ar-SA"/>
        </w:rPr>
        <w:t>项目排污口至三河桥</w:t>
      </w: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自本项目排污口至下游桐峪河与双桥河汇流处2.5km范围。</w:t>
      </w:r>
      <w:r>
        <w:rPr>
          <w:rFonts w:hint="default" w:ascii="Times New Roman" w:hAnsi="Times New Roman" w:eastAsia="宋体" w:cs="Times New Roman"/>
          <w:kern w:val="2"/>
          <w:sz w:val="24"/>
          <w:szCs w:val="24"/>
          <w:highlight w:val="none"/>
          <w:lang w:val="en-US" w:eastAsia="zh-CN" w:bidi="ar-SA"/>
        </w:rPr>
        <w:t>并</w:t>
      </w:r>
      <w:r>
        <w:rPr>
          <w:rFonts w:hint="eastAsia" w:ascii="Times New Roman" w:hAnsi="Times New Roman" w:eastAsia="宋体" w:cs="Times New Roman"/>
          <w:kern w:val="2"/>
          <w:sz w:val="24"/>
          <w:szCs w:val="24"/>
          <w:highlight w:val="none"/>
          <w:lang w:val="en-US" w:eastAsia="zh-CN" w:bidi="ar-SA"/>
        </w:rPr>
        <w:t>分析</w:t>
      </w:r>
      <w:r>
        <w:rPr>
          <w:rFonts w:hint="default" w:ascii="Times New Roman" w:hAnsi="Times New Roman" w:eastAsia="宋体" w:cs="Times New Roman"/>
          <w:kern w:val="2"/>
          <w:sz w:val="24"/>
          <w:szCs w:val="24"/>
          <w:highlight w:val="none"/>
          <w:lang w:val="en-US" w:eastAsia="zh-CN" w:bidi="ar-SA"/>
        </w:rPr>
        <w:t>本项目</w:t>
      </w:r>
      <w:r>
        <w:rPr>
          <w:rFonts w:hint="eastAsia" w:ascii="Times New Roman" w:hAnsi="Times New Roman" w:eastAsia="宋体" w:cs="Times New Roman"/>
          <w:kern w:val="2"/>
          <w:sz w:val="24"/>
          <w:szCs w:val="24"/>
          <w:highlight w:val="none"/>
          <w:lang w:val="en-US" w:eastAsia="zh-CN" w:bidi="ar-SA"/>
        </w:rPr>
        <w:t>排污口设置</w:t>
      </w:r>
      <w:r>
        <w:rPr>
          <w:rFonts w:hint="default" w:ascii="Times New Roman" w:hAnsi="Times New Roman" w:eastAsia="宋体" w:cs="Times New Roman"/>
          <w:kern w:val="2"/>
          <w:sz w:val="24"/>
          <w:szCs w:val="24"/>
          <w:highlight w:val="none"/>
          <w:lang w:val="en-US" w:eastAsia="zh-CN" w:bidi="ar-SA"/>
        </w:rPr>
        <w:t>对</w:t>
      </w:r>
      <w:r>
        <w:rPr>
          <w:rFonts w:hint="eastAsia" w:ascii="Times New Roman" w:hAnsi="Times New Roman" w:eastAsia="宋体" w:cs="Times New Roman"/>
          <w:kern w:val="2"/>
          <w:sz w:val="24"/>
          <w:szCs w:val="24"/>
          <w:highlight w:val="none"/>
          <w:lang w:val="en-US" w:eastAsia="zh-CN" w:bidi="ar-SA"/>
        </w:rPr>
        <w:t>三河口桥（双桥河）国</w:t>
      </w:r>
      <w:r>
        <w:rPr>
          <w:rFonts w:hint="default" w:ascii="Times New Roman" w:hAnsi="Times New Roman" w:eastAsia="宋体" w:cs="Times New Roman"/>
          <w:kern w:val="2"/>
          <w:sz w:val="24"/>
          <w:szCs w:val="24"/>
          <w:highlight w:val="none"/>
          <w:lang w:val="en-US" w:eastAsia="zh-CN" w:bidi="ar-SA"/>
        </w:rPr>
        <w:t>控断面的影响。</w:t>
      </w:r>
      <w:r>
        <w:rPr>
          <w:rFonts w:hint="default" w:ascii="宋体" w:hAnsi="宋体" w:eastAsia="宋体" w:cs="宋体"/>
          <w:sz w:val="24"/>
          <w:szCs w:val="24"/>
          <w:lang w:val="en-US" w:eastAsia="zh-CN"/>
        </w:rPr>
        <w:t>详细</w:t>
      </w:r>
      <w:r>
        <w:rPr>
          <w:rFonts w:hint="eastAsia" w:ascii="宋体" w:hAnsi="宋体" w:eastAsia="宋体" w:cs="宋体"/>
          <w:sz w:val="24"/>
          <w:szCs w:val="24"/>
          <w:lang w:val="en-US" w:eastAsia="zh-CN"/>
        </w:rPr>
        <w:t>分析论证</w:t>
      </w:r>
      <w:r>
        <w:rPr>
          <w:rFonts w:hint="default" w:ascii="宋体" w:hAnsi="宋体" w:eastAsia="宋体" w:cs="宋体"/>
          <w:sz w:val="24"/>
          <w:szCs w:val="24"/>
          <w:lang w:val="en-US" w:eastAsia="zh-CN"/>
        </w:rPr>
        <w:t>范围见下图</w:t>
      </w:r>
      <w:r>
        <w:rPr>
          <w:rFonts w:hint="eastAsia" w:ascii="宋体" w:hAnsi="宋体" w:eastAsia="宋体" w:cs="宋体"/>
          <w:sz w:val="24"/>
          <w:szCs w:val="24"/>
          <w:lang w:val="en-US" w:eastAsia="zh-CN"/>
        </w:rPr>
        <w:t>4.1-1.</w:t>
      </w:r>
    </w:p>
    <w:p>
      <w:pPr>
        <w:pStyle w:val="8"/>
        <w:ind w:left="0" w:leftChars="0" w:firstLine="0" w:firstLineChars="0"/>
        <w:jc w:val="center"/>
        <w:rPr>
          <w:rFonts w:hint="default"/>
          <w:lang w:val="en-US" w:eastAsia="zh-CN"/>
        </w:rPr>
      </w:pPr>
    </w:p>
    <w:p>
      <w:pPr>
        <w:pStyle w:val="3"/>
        <w:numPr>
          <w:numId w:val="0"/>
        </w:numPr>
        <w:bidi w:val="0"/>
        <w:ind w:leftChars="0"/>
        <w:outlineLvl w:val="9"/>
        <w:rPr>
          <w:rFonts w:hint="default"/>
          <w:lang w:val="en-US" w:eastAsia="zh-CN"/>
        </w:rPr>
      </w:pPr>
      <w:r>
        <w:rPr>
          <w:rFonts w:hint="default"/>
          <w:lang w:val="en-US" w:eastAsia="zh-CN"/>
        </w:rPr>
        <w:drawing>
          <wp:inline distT="0" distB="0" distL="114300" distR="114300">
            <wp:extent cx="5271135" cy="4713605"/>
            <wp:effectExtent l="0" t="0" r="5715" b="10795"/>
            <wp:docPr id="8" name="图片 8" descr="17183435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8343582300"/>
                    <pic:cNvPicPr>
                      <a:picLocks noChangeAspect="1"/>
                    </pic:cNvPicPr>
                  </pic:nvPicPr>
                  <pic:blipFill>
                    <a:blip r:embed="rId7"/>
                    <a:stretch>
                      <a:fillRect/>
                    </a:stretch>
                  </pic:blipFill>
                  <pic:spPr>
                    <a:xfrm>
                      <a:off x="0" y="0"/>
                      <a:ext cx="5271135" cy="47136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微软雅黑" w:hAnsi="微软雅黑" w:eastAsia="微软雅黑" w:cs="微软雅黑"/>
          <w:color w:val="969696"/>
          <w:spacing w:val="19"/>
          <w:kern w:val="2"/>
          <w:sz w:val="19"/>
          <w:szCs w:val="19"/>
          <w:lang w:val="en-US" w:eastAsia="zh-CN" w:bidi="ar-SA"/>
        </w:rPr>
      </w:pPr>
      <w:r>
        <w:rPr>
          <w:rFonts w:hint="eastAsia" w:ascii="微软雅黑" w:hAnsi="微软雅黑" w:eastAsia="微软雅黑" w:cs="微软雅黑"/>
          <w:color w:val="969696"/>
          <w:spacing w:val="19"/>
          <w:kern w:val="2"/>
          <w:sz w:val="19"/>
          <w:szCs w:val="19"/>
          <w:lang w:val="en-US" w:eastAsia="zh-CN" w:bidi="ar-SA"/>
        </w:rPr>
        <w:t>2.5-1分析论证</w:t>
      </w:r>
      <w:r>
        <w:rPr>
          <w:rFonts w:hint="default" w:ascii="微软雅黑" w:hAnsi="微软雅黑" w:eastAsia="微软雅黑" w:cs="微软雅黑"/>
          <w:color w:val="969696"/>
          <w:spacing w:val="19"/>
          <w:kern w:val="2"/>
          <w:sz w:val="19"/>
          <w:szCs w:val="19"/>
          <w:lang w:val="en-US" w:eastAsia="zh-CN" w:bidi="ar-SA"/>
        </w:rPr>
        <w:t>范围示意图</w:t>
      </w:r>
    </w:p>
    <w:p>
      <w:pPr>
        <w:pStyle w:val="3"/>
        <w:bidi w:val="0"/>
        <w:ind w:left="0" w:leftChars="0" w:firstLine="0" w:firstLineChars="0"/>
        <w:rPr>
          <w:rFonts w:hint="default"/>
          <w:color w:val="auto"/>
          <w:lang w:eastAsia="zh-CN"/>
        </w:rPr>
      </w:pPr>
      <w:bookmarkStart w:id="64" w:name="_Toc11221"/>
      <w:r>
        <w:rPr>
          <w:rFonts w:hint="default"/>
          <w:color w:val="auto"/>
          <w:lang w:eastAsia="zh-CN"/>
        </w:rPr>
        <w:t>项目所在区域概况</w:t>
      </w:r>
      <w:bookmarkEnd w:id="63"/>
      <w:bookmarkEnd w:id="64"/>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2.</w:t>
      </w:r>
      <w:r>
        <w:rPr>
          <w:rFonts w:hint="eastAsia" w:ascii="Times New Roman" w:hAnsi="Times New Roman" w:eastAsia="宋体" w:cs="Times New Roman"/>
          <w:b/>
          <w:bCs/>
          <w:sz w:val="24"/>
          <w:szCs w:val="24"/>
          <w:highlight w:val="none"/>
          <w:lang w:val="en-US" w:eastAsia="zh-CN"/>
        </w:rPr>
        <w:t>6</w:t>
      </w:r>
      <w:r>
        <w:rPr>
          <w:rFonts w:hint="default" w:ascii="Times New Roman" w:hAnsi="Times New Roman" w:eastAsia="宋体" w:cs="Times New Roman"/>
          <w:b/>
          <w:bCs/>
          <w:sz w:val="24"/>
          <w:szCs w:val="24"/>
          <w:highlight w:val="none"/>
        </w:rPr>
        <w:t>.1地理位置</w:t>
      </w:r>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潼关县地处陕西省关中平原东端，居秦、晋、豫三省交界处。东接河南省县，西 连本省华阴市，南依秦岭与本省洛南县为邻，北濒黄河、渭河同本荔县及山西省芮城 县隔水相望。西距省会西安市 144km ，距渭南市 82km 。东经 110°09'30"～110°25'32"北纬 34°23'30"～34°39'00"之间，南北长约 28.4km ，东西宽约 24.6km，总面积 526km</w:t>
      </w:r>
      <w:r>
        <w:rPr>
          <w:rFonts w:hint="eastAsia"/>
          <w:spacing w:val="-2"/>
          <w:vertAlign w:val="superscript"/>
          <w:lang w:val="en-US" w:eastAsia="zh-CN"/>
        </w:rPr>
        <w:t>2</w:t>
      </w:r>
      <w:r>
        <w:rPr>
          <w:rFonts w:hint="eastAsia"/>
          <w:spacing w:val="-2"/>
          <w:lang w:val="en-US" w:eastAsia="zh-CN"/>
        </w:rPr>
        <w:t>。</w:t>
      </w:r>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本项目污水处理站排污口位于潼关县桐峪镇区北侧，铁路以南，Z202 乡道以西的交叉口处，桐峪河左岸，地理位置坐标为东经：</w:t>
      </w:r>
      <w:r>
        <w:rPr>
          <w:rFonts w:hint="eastAsia" w:ascii="宋体" w:hAnsi="宋体" w:eastAsia="宋体" w:cs="宋体"/>
          <w:spacing w:val="-11"/>
          <w:sz w:val="24"/>
          <w:szCs w:val="24"/>
        </w:rPr>
        <w:t>110.358927</w:t>
      </w:r>
      <w:r>
        <w:rPr>
          <w:rFonts w:hint="eastAsia"/>
          <w:spacing w:val="-2"/>
          <w:lang w:val="en-US" w:eastAsia="zh-CN"/>
        </w:rPr>
        <w:t>，北纬：</w:t>
      </w:r>
      <w:r>
        <w:rPr>
          <w:rFonts w:hint="eastAsia" w:ascii="宋体" w:hAnsi="宋体" w:eastAsia="宋体" w:cs="宋体"/>
          <w:spacing w:val="-11"/>
          <w:sz w:val="24"/>
          <w:szCs w:val="24"/>
        </w:rPr>
        <w:t>34.495752</w:t>
      </w:r>
      <w:r>
        <w:rPr>
          <w:rFonts w:hint="eastAsia"/>
          <w:spacing w:val="-2"/>
          <w:lang w:val="en-US" w:eastAsia="zh-CN"/>
        </w:rPr>
        <w:t>。</w:t>
      </w:r>
    </w:p>
    <w:p>
      <w:pPr>
        <w:keepNext/>
        <w:keepLines/>
        <w:pageBreakBefore w:val="0"/>
        <w:widowControl w:val="0"/>
        <w:kinsoku/>
        <w:wordWrap/>
        <w:overflowPunct/>
        <w:topLinePunct w:val="0"/>
        <w:autoSpaceDE/>
        <w:autoSpaceDN/>
        <w:bidi w:val="0"/>
        <w:spacing w:before="31" w:beforeLines="10" w:after="31" w:afterLines="10" w:line="520" w:lineRule="exact"/>
        <w:textAlignment w:val="auto"/>
        <w:outlineLvl w:val="2"/>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2.</w:t>
      </w:r>
      <w:r>
        <w:rPr>
          <w:rFonts w:hint="eastAsia" w:ascii="Times New Roman" w:hAnsi="Times New Roman" w:eastAsia="宋体" w:cs="Times New Roman"/>
          <w:b/>
          <w:bCs/>
          <w:sz w:val="24"/>
          <w:szCs w:val="24"/>
          <w:highlight w:val="none"/>
          <w:lang w:val="en-US" w:eastAsia="zh-CN"/>
        </w:rPr>
        <w:t>6</w:t>
      </w:r>
      <w:r>
        <w:rPr>
          <w:rFonts w:hint="default" w:ascii="Times New Roman" w:hAnsi="Times New Roman" w:eastAsia="宋体" w:cs="Times New Roman"/>
          <w:b/>
          <w:bCs/>
          <w:sz w:val="24"/>
          <w:szCs w:val="24"/>
          <w:highlight w:val="none"/>
        </w:rPr>
        <w:t>.2自然环境</w:t>
      </w:r>
    </w:p>
    <w:p>
      <w:pPr>
        <w:pageBreakBefore w:val="0"/>
        <w:widowControl w:val="0"/>
        <w:kinsoku/>
        <w:wordWrap/>
        <w:overflowPunct/>
        <w:topLinePunct w:val="0"/>
        <w:autoSpaceDE/>
        <w:autoSpaceDN/>
        <w:bidi w:val="0"/>
        <w:spacing w:before="53" w:line="520" w:lineRule="exact"/>
        <w:ind w:right="111"/>
        <w:jc w:val="left"/>
        <w:textAlignment w:val="auto"/>
        <w:rPr>
          <w:rFonts w:hint="default" w:ascii="Times New Roman" w:hAnsi="Times New Roman" w:eastAsia="宋体" w:cs="Times New Roman"/>
          <w:b/>
          <w:bCs/>
          <w:sz w:val="24"/>
          <w:szCs w:val="24"/>
          <w:highlight w:val="none"/>
        </w:rPr>
      </w:pPr>
      <w:bookmarkStart w:id="65" w:name="_Toc430761914"/>
      <w:r>
        <w:rPr>
          <w:rFonts w:hint="default" w:ascii="Times New Roman" w:hAnsi="Times New Roman" w:eastAsia="宋体" w:cs="Times New Roman"/>
          <w:b/>
          <w:bCs/>
          <w:sz w:val="24"/>
          <w:szCs w:val="24"/>
          <w:highlight w:val="none"/>
        </w:rPr>
        <w:t>2.</w:t>
      </w:r>
      <w:r>
        <w:rPr>
          <w:rFonts w:hint="eastAsia" w:ascii="Times New Roman" w:hAnsi="Times New Roman" w:eastAsia="宋体" w:cs="Times New Roman"/>
          <w:b/>
          <w:bCs/>
          <w:sz w:val="24"/>
          <w:szCs w:val="24"/>
          <w:highlight w:val="none"/>
          <w:lang w:val="en-US" w:eastAsia="zh-CN"/>
        </w:rPr>
        <w:t>6</w:t>
      </w:r>
      <w:r>
        <w:rPr>
          <w:rFonts w:hint="default" w:ascii="Times New Roman" w:hAnsi="Times New Roman" w:eastAsia="宋体" w:cs="Times New Roman"/>
          <w:b/>
          <w:bCs/>
          <w:sz w:val="24"/>
          <w:szCs w:val="24"/>
          <w:highlight w:val="none"/>
        </w:rPr>
        <w:t>.2.1地形地貌条件</w:t>
      </w:r>
      <w:bookmarkEnd w:id="65"/>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潼关境内南有秦岭叠嶂，北濒黄河、渭河天险，东有牛头塬居高临下，中有禁沟 纵贯南北，其西沿有十二连城，形成军事上的天然防线。地势南高北低，跌宕明显， 呈台阶状，形成“盾牌” 台塬。塬面被820余条干、支沟切割；每平方公里有沟壑1.8km。由南向北分为山地、残塬沟壑和黄、渭河谷三种类型。</w:t>
      </w:r>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潼关县南部秦岭山区属太古界太华群，是吕梁运动以后形成的东西带状隆起。元 古震旦纪发生地壳构造运动，地层挤压褶皱成山。喜马拉雅运动时，南沿发生断裂， 北升南陷，形成寻马道地堑。新生代，因受秦岭纬向构造体系和祁、吕、贺构造体系 控制，构造运动两体系之间发生挤压、张扭、断陷，形成汾渭地堑。此外，受朝邑横 向隆起影响，形成次一级的山前断陷（华阴一潼关断层）。潼阌山地因受南北两个地 堑的挤压，强烈断折上升，出现了境内秦岭山地。第四纪以来的洪积和风积作用，促使山前断层以北成为黄土台原。台原北部经长期洪水冲刷形成黄渭河谷。</w:t>
      </w:r>
    </w:p>
    <w:p>
      <w:pPr>
        <w:pageBreakBefore w:val="0"/>
        <w:widowControl w:val="0"/>
        <w:kinsoku/>
        <w:wordWrap/>
        <w:overflowPunct/>
        <w:topLinePunct w:val="0"/>
        <w:autoSpaceDE/>
        <w:autoSpaceDN/>
        <w:bidi w:val="0"/>
        <w:spacing w:before="53" w:line="520" w:lineRule="exact"/>
        <w:ind w:left="595" w:right="111" w:hanging="480"/>
        <w:jc w:val="left"/>
        <w:textAlignment w:val="auto"/>
        <w:rPr>
          <w:rFonts w:hint="default" w:ascii="Times New Roman" w:hAnsi="Times New Roman" w:eastAsia="宋体" w:cs="Times New Roman"/>
          <w:b/>
          <w:bCs/>
          <w:sz w:val="24"/>
          <w:szCs w:val="24"/>
          <w:highlight w:val="none"/>
        </w:rPr>
      </w:pPr>
      <w:bookmarkStart w:id="66" w:name="_Toc430761923"/>
      <w:r>
        <w:rPr>
          <w:rFonts w:hint="default" w:ascii="Times New Roman" w:hAnsi="Times New Roman" w:eastAsia="宋体" w:cs="Times New Roman"/>
          <w:b/>
          <w:bCs/>
          <w:sz w:val="24"/>
          <w:szCs w:val="24"/>
          <w:highlight w:val="none"/>
        </w:rPr>
        <w:t>2.</w:t>
      </w:r>
      <w:r>
        <w:rPr>
          <w:rFonts w:hint="eastAsia" w:ascii="Times New Roman" w:hAnsi="Times New Roman" w:eastAsia="宋体" w:cs="Times New Roman"/>
          <w:b/>
          <w:bCs/>
          <w:sz w:val="24"/>
          <w:szCs w:val="24"/>
          <w:highlight w:val="none"/>
          <w:lang w:val="en-US" w:eastAsia="zh-CN"/>
        </w:rPr>
        <w:t>6</w:t>
      </w:r>
      <w:r>
        <w:rPr>
          <w:rFonts w:hint="default" w:ascii="Times New Roman" w:hAnsi="Times New Roman" w:eastAsia="宋体" w:cs="Times New Roman"/>
          <w:b/>
          <w:bCs/>
          <w:sz w:val="24"/>
          <w:szCs w:val="24"/>
          <w:highlight w:val="none"/>
        </w:rPr>
        <w:t>.2.</w:t>
      </w:r>
      <w:r>
        <w:rPr>
          <w:rFonts w:hint="eastAsia"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b/>
          <w:bCs/>
          <w:sz w:val="24"/>
          <w:szCs w:val="24"/>
          <w:highlight w:val="none"/>
        </w:rPr>
        <w:t>自然气候</w:t>
      </w:r>
      <w:bookmarkEnd w:id="66"/>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潼关县属暖温带大陆性季风性干旱气候，冬季干冷少雪，春季少雨多风，气候干燥；夏季高温炎热雨多，秋季降温迅速且连阴多雨。</w:t>
      </w:r>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据潼关县气象局资料，潼关县多年平均降水量625.5mm ，年最大降水量1000.0mm （2003年），年最小降水量319. 1mm（1997年）， 日最大降雨量137.4mm（2010年7月 23日），1小时最大降雨量60.0mm（1987年7月9日19时14分），10分钟最大降雨量23.2mm （1988年7月30日5时17分）。6 、7 、8月份为雨季， 占全年降水量的50%以上。降水南北差异明显，由北向南递减。</w:t>
      </w:r>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多年平均气温13.0℃ , 南北温差明显，南部山区温度偏低。一月最冷，平均气温 - 1.6℃  , 极端低温- 18.2℃; 七月最热，平均气温26. 1℃ , 极端最高温42.7℃ 。年平均蒸发量1638.7mm ，年平均无霜期217天。常年主导风向为偏东风，多年平均风速3.2m/s。</w:t>
      </w:r>
    </w:p>
    <w:p>
      <w:pPr>
        <w:pageBreakBefore w:val="0"/>
        <w:widowControl w:val="0"/>
        <w:kinsoku/>
        <w:wordWrap/>
        <w:overflowPunct/>
        <w:topLinePunct w:val="0"/>
        <w:autoSpaceDE/>
        <w:autoSpaceDN/>
        <w:bidi w:val="0"/>
        <w:spacing w:before="53" w:line="520" w:lineRule="exact"/>
        <w:ind w:left="595" w:right="111" w:hanging="480"/>
        <w:jc w:val="left"/>
        <w:textAlignment w:val="auto"/>
        <w:rPr>
          <w:rFonts w:hint="default" w:ascii="Times New Roman" w:hAnsi="Times New Roman" w:eastAsia="宋体" w:cs="Times New Roman"/>
          <w:b/>
          <w:bCs/>
          <w:sz w:val="24"/>
          <w:szCs w:val="24"/>
          <w:highlight w:val="none"/>
        </w:rPr>
      </w:pPr>
      <w:bookmarkStart w:id="67" w:name="_Toc430761925"/>
      <w:r>
        <w:rPr>
          <w:rFonts w:hint="default" w:ascii="Times New Roman" w:hAnsi="Times New Roman" w:eastAsia="宋体" w:cs="Times New Roman"/>
          <w:b/>
          <w:bCs/>
          <w:sz w:val="24"/>
          <w:szCs w:val="24"/>
          <w:highlight w:val="none"/>
        </w:rPr>
        <w:t>2.</w:t>
      </w:r>
      <w:r>
        <w:rPr>
          <w:rFonts w:hint="eastAsia" w:ascii="Times New Roman" w:hAnsi="Times New Roman" w:eastAsia="宋体" w:cs="Times New Roman"/>
          <w:b/>
          <w:bCs/>
          <w:sz w:val="24"/>
          <w:szCs w:val="24"/>
          <w:highlight w:val="none"/>
          <w:lang w:val="en-US" w:eastAsia="zh-CN"/>
        </w:rPr>
        <w:t>6</w:t>
      </w:r>
      <w:r>
        <w:rPr>
          <w:rFonts w:hint="default" w:ascii="Times New Roman" w:hAnsi="Times New Roman" w:eastAsia="宋体" w:cs="Times New Roman"/>
          <w:b/>
          <w:bCs/>
          <w:sz w:val="24"/>
          <w:szCs w:val="24"/>
          <w:highlight w:val="none"/>
        </w:rPr>
        <w:t>.2.</w:t>
      </w:r>
      <w:r>
        <w:rPr>
          <w:rFonts w:hint="eastAsia" w:ascii="Times New Roman" w:hAnsi="Times New Roman" w:eastAsia="宋体" w:cs="Times New Roman"/>
          <w:b/>
          <w:bCs/>
          <w:sz w:val="24"/>
          <w:szCs w:val="24"/>
          <w:highlight w:val="none"/>
          <w:lang w:val="en-US" w:eastAsia="zh-CN"/>
        </w:rPr>
        <w:t>3</w:t>
      </w:r>
      <w:r>
        <w:rPr>
          <w:rFonts w:hint="default" w:ascii="Times New Roman" w:hAnsi="Times New Roman" w:eastAsia="宋体" w:cs="Times New Roman"/>
          <w:b/>
          <w:bCs/>
          <w:sz w:val="24"/>
          <w:szCs w:val="24"/>
          <w:highlight w:val="none"/>
        </w:rPr>
        <w:t>水文及河流水系</w:t>
      </w:r>
      <w:bookmarkEnd w:id="67"/>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（1）地表水</w:t>
      </w:r>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潼关县境内有自产水和过境客水两大部分：</w:t>
      </w:r>
      <w:r>
        <w:rPr>
          <w:rFonts w:hint="eastAsia"/>
          <w:spacing w:val="-2"/>
          <w:lang w:val="en-US" w:eastAsia="zh-CN"/>
        </w:rPr>
        <w:fldChar w:fldCharType="begin"/>
      </w:r>
      <w:r>
        <w:rPr>
          <w:rFonts w:hint="eastAsia"/>
          <w:spacing w:val="-2"/>
          <w:lang w:val="en-US" w:eastAsia="zh-CN"/>
        </w:rPr>
        <w:instrText xml:space="preserve"> HYPERLINK "https://baike.baidu.com/item/%E4%B8%80%E7%BA%A7%E6%94%AF%E6%B5%81" </w:instrText>
      </w:r>
      <w:r>
        <w:rPr>
          <w:rFonts w:hint="eastAsia"/>
          <w:spacing w:val="-2"/>
          <w:lang w:val="en-US" w:eastAsia="zh-CN"/>
        </w:rPr>
        <w:fldChar w:fldCharType="separate"/>
      </w:r>
      <w:r>
        <w:rPr>
          <w:rFonts w:hint="eastAsia"/>
          <w:spacing w:val="-2"/>
          <w:lang w:val="en-US" w:eastAsia="zh-CN"/>
        </w:rPr>
        <w:t>自产水指汇入黄河一级支流</w:t>
      </w:r>
      <w:r>
        <w:rPr>
          <w:rFonts w:hint="eastAsia"/>
          <w:spacing w:val="-2"/>
          <w:lang w:val="en-US" w:eastAsia="zh-CN"/>
        </w:rPr>
        <w:fldChar w:fldCharType="end"/>
      </w:r>
      <w:r>
        <w:rPr>
          <w:rFonts w:hint="eastAsia"/>
          <w:spacing w:val="-2"/>
          <w:lang w:val="en-US" w:eastAsia="zh-CN"/>
        </w:rPr>
        <w:t>的 11 条支流；客水指黄河、渭河。自来水，源于本县，汇入与河南省灵宝县交界的双桥河系的 有西峪、桐峪、善车峪、太峪、铁沟河。源于本县，汇入黄河的有远望沟和漳河及其支流；源于本县，汇入渭河的有列斜沟、磨沟河两条支流。</w:t>
      </w:r>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距离项目最近的地表水体为桐峪河，距离本项目约1.5km；桐峪河属黄河水系，发源于潼关县安乐乡潼峪村南岔组的秦岭北麓，由南向北流经江子湾、侯家村、槐树庙，于安乐乡村南出峪，继续北流，经南寨子、老虎村、南刘村，于周家村纳禁沟河后继续北流，于秦东镇港口附近汇入黄河，河道全长29.7km，流域面积111.1km</w:t>
      </w:r>
      <w:r>
        <w:rPr>
          <w:rFonts w:hint="eastAsia"/>
          <w:spacing w:val="-2"/>
          <w:vertAlign w:val="superscript"/>
          <w:lang w:val="en-US" w:eastAsia="zh-CN"/>
        </w:rPr>
        <w:t>2</w:t>
      </w:r>
      <w:r>
        <w:rPr>
          <w:rFonts w:hint="eastAsia"/>
          <w:spacing w:val="-2"/>
          <w:lang w:val="en-US" w:eastAsia="zh-CN"/>
        </w:rPr>
        <w:t>，河道比降 41.2‰。桐峪河洪峰特点是峰高历时短、杂草树木较多，水流浑浊，泥沙含量高，泥沙含量高，河道冲刷严重。</w:t>
      </w:r>
    </w:p>
    <w:p>
      <w:pPr>
        <w:pStyle w:val="17"/>
        <w:spacing w:before="62" w:line="354" w:lineRule="auto"/>
        <w:ind w:left="118" w:right="96" w:firstLine="472" w:firstLineChars="200"/>
        <w:rPr>
          <w:rFonts w:hint="eastAsia"/>
          <w:spacing w:val="-2"/>
          <w:lang w:val="en-US" w:eastAsia="zh-CN"/>
        </w:rPr>
      </w:pPr>
      <w:r>
        <w:rPr>
          <w:rFonts w:hint="eastAsia"/>
          <w:spacing w:val="-2"/>
          <w:lang w:val="en-US" w:eastAsia="zh-CN"/>
        </w:rPr>
        <w:t>（2）地下水</w:t>
      </w:r>
    </w:p>
    <w:p>
      <w:pPr>
        <w:pStyle w:val="17"/>
        <w:spacing w:before="62" w:line="354" w:lineRule="auto"/>
        <w:ind w:left="118" w:right="96" w:firstLine="472" w:firstLineChars="200"/>
        <w:rPr>
          <w:rFonts w:hint="default" w:ascii="宋体" w:hAnsi="宋体" w:eastAsia="宋体" w:cs="宋体"/>
          <w:spacing w:val="7"/>
          <w:sz w:val="28"/>
          <w:szCs w:val="28"/>
          <w:u w:val="none" w:color="auto"/>
          <w:lang w:val="en-US" w:eastAsia="zh-CN"/>
        </w:rPr>
      </w:pPr>
      <w:r>
        <w:rPr>
          <w:rFonts w:hint="eastAsia"/>
          <w:spacing w:val="-2"/>
          <w:lang w:val="en-US" w:eastAsia="zh-CN"/>
        </w:rPr>
        <w:t>基于地质构造、地段的沉积环境、岩相、地层分布和地貌类型的不同，形成深、浅层地下水。南部受秦岭山前大断裂的影响，为基本岩裂隙水区；又分北部为第四纪松散堆积物孔隙水区，分为黄土孔洞孔隙、裂隙水亚区；太要洼地洪积冰积漂砾卵石孔隙水亚区；黄渭谷地冲积相砂砾石孔隙水亚区。补给总量4013.50立方米，其中：降水入渗补给、河流渗漏补给占补给总量的91%；渠道入渗和田间灌溉入渗补给占8%；其它补给占1%。除去潜水蒸发量，净补给量3773.50万立方米。地下水径流总的趋势由南向北，东部呈轴射状。黄土台原地区，地下水以向北径流为主，原中心向东西沟谷中径流；太要洼地区由南、西向东北方向径流。地下水天然排泄途径有泉侧向径流和蒸发。黄土台原地区，原间冲沟切割深，露出部分含水层，地下水以泉水形式排泄，补给地表水；太要洼地区以侧向径流流出为主要排泄方式；黄渭阶地区以蒸发和侧向径流流出为主要排泄方式。</w:t>
      </w:r>
    </w:p>
    <w:p>
      <w:pPr>
        <w:pStyle w:val="2"/>
        <w:bidi w:val="0"/>
        <w:ind w:left="0" w:leftChars="0" w:firstLine="0" w:firstLineChars="0"/>
        <w:rPr>
          <w:rFonts w:hint="default"/>
        </w:rPr>
      </w:pPr>
      <w:bookmarkStart w:id="68" w:name="_Toc1502"/>
      <w:r>
        <w:rPr>
          <w:rFonts w:hint="default"/>
        </w:rPr>
        <w:t>项目</w:t>
      </w:r>
      <w:r>
        <w:rPr>
          <w:rFonts w:hint="eastAsia"/>
          <w:lang w:val="en-US" w:eastAsia="zh-CN"/>
        </w:rPr>
        <w:t>排污口设置</w:t>
      </w:r>
      <w:bookmarkEnd w:id="68"/>
    </w:p>
    <w:p>
      <w:pPr>
        <w:pStyle w:val="3"/>
        <w:bidi w:val="0"/>
        <w:ind w:left="0" w:leftChars="0" w:firstLine="0" w:firstLineChars="0"/>
        <w:rPr>
          <w:rFonts w:hint="default"/>
        </w:rPr>
      </w:pPr>
      <w:bookmarkStart w:id="69" w:name="_Toc24852"/>
      <w:r>
        <w:rPr>
          <w:rFonts w:hint="eastAsia"/>
          <w:lang w:eastAsia="zh-CN"/>
        </w:rPr>
        <w:t>项目</w:t>
      </w:r>
      <w:r>
        <w:rPr>
          <w:rFonts w:hint="eastAsia"/>
          <w:lang w:val="en-US" w:eastAsia="zh-CN"/>
        </w:rPr>
        <w:t>排污口位置</w:t>
      </w:r>
      <w:bookmarkEnd w:id="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11"/>
          <w:sz w:val="24"/>
          <w:szCs w:val="24"/>
          <w:lang w:eastAsia="zh-CN"/>
        </w:rPr>
      </w:pPr>
      <w:r>
        <w:rPr>
          <w:rFonts w:hint="eastAsia" w:ascii="宋体" w:hAnsi="宋体" w:eastAsia="宋体" w:cs="宋体"/>
          <w:color w:val="auto"/>
          <w:sz w:val="24"/>
          <w:szCs w:val="24"/>
          <w:lang w:val="en-US" w:eastAsia="zh-CN"/>
        </w:rPr>
        <w:t>本项目</w:t>
      </w:r>
      <w:r>
        <w:rPr>
          <w:rFonts w:hint="eastAsia" w:ascii="宋体" w:hAnsi="宋体" w:eastAsia="宋体" w:cs="宋体"/>
          <w:color w:val="auto"/>
          <w:sz w:val="24"/>
          <w:szCs w:val="24"/>
        </w:rPr>
        <w:t>污水站</w:t>
      </w:r>
      <w:r>
        <w:rPr>
          <w:rFonts w:hint="eastAsia" w:ascii="宋体" w:hAnsi="宋体" w:eastAsia="宋体" w:cs="宋体"/>
          <w:color w:val="auto"/>
          <w:sz w:val="24"/>
          <w:szCs w:val="24"/>
          <w:lang w:val="en-US" w:eastAsia="zh-CN"/>
        </w:rPr>
        <w:t>将生活污水处理后达标排放至桐峪河，污水处理站排水口至桐峪河40米，</w:t>
      </w:r>
      <w:r>
        <w:rPr>
          <w:rFonts w:hint="eastAsia" w:ascii="宋体" w:hAnsi="宋体" w:eastAsia="宋体" w:cs="宋体"/>
          <w:color w:val="auto"/>
          <w:spacing w:val="0"/>
          <w:sz w:val="24"/>
          <w:szCs w:val="24"/>
        </w:rPr>
        <w:t>采用</w:t>
      </w:r>
      <w:r>
        <w:rPr>
          <w:rFonts w:hint="eastAsia" w:ascii="宋体" w:hAnsi="宋体" w:eastAsia="宋体" w:cs="宋体"/>
          <w:spacing w:val="16"/>
          <w:sz w:val="24"/>
          <w:szCs w:val="24"/>
        </w:rPr>
        <w:t>采用</w:t>
      </w:r>
      <w:r>
        <w:rPr>
          <w:rFonts w:hint="eastAsia" w:ascii="宋体" w:hAnsi="宋体" w:eastAsia="宋体" w:cs="宋体"/>
          <w:sz w:val="24"/>
          <w:szCs w:val="24"/>
        </w:rPr>
        <w:t>HDPE</w:t>
      </w:r>
      <w:r>
        <w:rPr>
          <w:rFonts w:hint="eastAsia" w:ascii="宋体" w:hAnsi="宋体" w:eastAsia="宋体" w:cs="宋体"/>
          <w:spacing w:val="16"/>
          <w:sz w:val="24"/>
          <w:szCs w:val="24"/>
        </w:rPr>
        <w:t>埋地双壁波纹管</w:t>
      </w:r>
      <w:r>
        <w:rPr>
          <w:rFonts w:hint="eastAsia" w:ascii="宋体" w:hAnsi="宋体" w:eastAsia="宋体" w:cs="宋体"/>
          <w:color w:val="auto"/>
          <w:spacing w:val="0"/>
          <w:sz w:val="24"/>
          <w:szCs w:val="24"/>
          <w:lang w:eastAsia="zh-CN"/>
        </w:rPr>
        <w:t>，</w:t>
      </w:r>
      <w:r>
        <w:rPr>
          <w:rFonts w:hint="eastAsia" w:ascii="宋体" w:hAnsi="宋体" w:eastAsia="宋体" w:cs="宋体"/>
          <w:color w:val="auto"/>
          <w:spacing w:val="0"/>
          <w:sz w:val="24"/>
          <w:szCs w:val="24"/>
          <w:lang w:val="en-US" w:eastAsia="zh-CN"/>
        </w:rPr>
        <w:t>承插连接。</w:t>
      </w:r>
      <w:r>
        <w:rPr>
          <w:rFonts w:hint="eastAsia" w:ascii="宋体" w:hAnsi="宋体" w:eastAsia="宋体" w:cs="宋体"/>
          <w:color w:val="auto"/>
          <w:spacing w:val="0"/>
          <w:sz w:val="24"/>
          <w:szCs w:val="24"/>
        </w:rPr>
        <w:t>主管管径DN</w:t>
      </w:r>
      <w:r>
        <w:rPr>
          <w:rFonts w:hint="eastAsia" w:ascii="宋体" w:hAnsi="宋体" w:eastAsia="宋体" w:cs="宋体"/>
          <w:color w:val="auto"/>
          <w:spacing w:val="0"/>
          <w:sz w:val="24"/>
          <w:szCs w:val="24"/>
          <w:lang w:val="en-US" w:eastAsia="zh-CN"/>
        </w:rPr>
        <w:t>3</w:t>
      </w:r>
      <w:r>
        <w:rPr>
          <w:rFonts w:hint="eastAsia" w:ascii="宋体" w:hAnsi="宋体" w:eastAsia="宋体" w:cs="宋体"/>
          <w:color w:val="auto"/>
          <w:spacing w:val="0"/>
          <w:sz w:val="24"/>
          <w:szCs w:val="24"/>
        </w:rPr>
        <w:t>00，</w:t>
      </w:r>
      <w:r>
        <w:rPr>
          <w:rFonts w:hint="eastAsia" w:ascii="宋体" w:hAnsi="宋体" w:eastAsia="宋体" w:cs="宋体"/>
          <w:color w:val="auto"/>
          <w:spacing w:val="0"/>
          <w:sz w:val="24"/>
          <w:szCs w:val="24"/>
          <w:lang w:val="en-US" w:eastAsia="zh-CN"/>
        </w:rPr>
        <w:t>污水管排入河道出水口采用八字式管道出水口（浆砌块石）。</w:t>
      </w:r>
      <w:r>
        <w:rPr>
          <w:rFonts w:hint="eastAsia" w:ascii="宋体" w:hAnsi="宋体" w:eastAsia="宋体" w:cs="宋体"/>
          <w:spacing w:val="-11"/>
          <w:sz w:val="24"/>
          <w:szCs w:val="24"/>
        </w:rPr>
        <w:t>地理位置坐标为东经：</w:t>
      </w:r>
      <w:r>
        <w:rPr>
          <w:rFonts w:hint="eastAsia" w:ascii="宋体" w:hAnsi="宋体" w:eastAsia="宋体" w:cs="宋体"/>
          <w:color w:val="auto"/>
          <w:sz w:val="24"/>
          <w:szCs w:val="24"/>
          <w:lang w:val="en-US" w:eastAsia="zh-CN"/>
        </w:rPr>
        <w:t>110.358932，北纬：34.495698</w:t>
      </w: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lang w:val="en-US" w:eastAsia="zh-CN"/>
        </w:rPr>
        <w:t>排污口地理位置见图3.1-1</w:t>
      </w:r>
      <w:r>
        <w:rPr>
          <w:rFonts w:hint="default" w:ascii="宋体" w:hAnsi="宋体" w:eastAsia="宋体" w:cs="宋体"/>
          <w:spacing w:val="-11"/>
          <w:sz w:val="24"/>
          <w:szCs w:val="24"/>
        </w:rPr>
        <w:t>。</w:t>
      </w:r>
    </w:p>
    <w:p>
      <w:pPr>
        <w:pStyle w:val="13"/>
        <w:rPr>
          <w:rFonts w:hint="default" w:ascii="宋体" w:hAnsi="宋体" w:eastAsia="宋体" w:cs="宋体"/>
          <w:spacing w:val="7"/>
          <w:sz w:val="28"/>
          <w:szCs w:val="28"/>
          <w:u w:val="none" w:color="auto"/>
          <w:lang w:val="en-US" w:eastAsia="zh-CN"/>
        </w:rPr>
      </w:pPr>
      <w:r>
        <w:rPr>
          <w:rFonts w:hint="eastAsia"/>
          <w:lang w:eastAsia="zh-CN"/>
        </w:rPr>
        <w:drawing>
          <wp:inline distT="0" distB="0" distL="114300" distR="114300">
            <wp:extent cx="5276850" cy="4886325"/>
            <wp:effectExtent l="0" t="0" r="0" b="9525"/>
            <wp:docPr id="9" name="图片 9" descr="172000439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0004390707"/>
                    <pic:cNvPicPr>
                      <a:picLocks noChangeAspect="1"/>
                    </pic:cNvPicPr>
                  </pic:nvPicPr>
                  <pic:blipFill>
                    <a:blip r:embed="rId8"/>
                    <a:stretch>
                      <a:fillRect/>
                    </a:stretch>
                  </pic:blipFill>
                  <pic:spPr>
                    <a:xfrm>
                      <a:off x="0" y="0"/>
                      <a:ext cx="5276850" cy="4886325"/>
                    </a:xfrm>
                    <a:prstGeom prst="rect">
                      <a:avLst/>
                    </a:prstGeom>
                  </pic:spPr>
                </pic:pic>
              </a:graphicData>
            </a:graphic>
          </wp:inline>
        </w:drawing>
      </w:r>
    </w:p>
    <w:p>
      <w:pPr>
        <w:adjustRightInd w:val="0"/>
        <w:snapToGrid w:val="0"/>
        <w:spacing w:line="360" w:lineRule="auto"/>
        <w:jc w:val="center"/>
        <w:rPr>
          <w:rFonts w:hint="default" w:ascii="微软雅黑" w:hAnsi="微软雅黑" w:eastAsia="微软雅黑" w:cs="微软雅黑"/>
          <w:color w:val="969696"/>
          <w:spacing w:val="19"/>
          <w:kern w:val="2"/>
          <w:sz w:val="19"/>
          <w:szCs w:val="19"/>
          <w:lang w:val="en-US" w:eastAsia="zh-CN" w:bidi="ar-SA"/>
        </w:rPr>
      </w:pPr>
      <w:r>
        <w:rPr>
          <w:rFonts w:hint="eastAsia" w:ascii="微软雅黑" w:hAnsi="微软雅黑" w:eastAsia="微软雅黑" w:cs="微软雅黑"/>
          <w:color w:val="969696"/>
          <w:spacing w:val="19"/>
          <w:kern w:val="2"/>
          <w:sz w:val="19"/>
          <w:szCs w:val="19"/>
          <w:lang w:val="en-US" w:eastAsia="zh-CN" w:bidi="ar-SA"/>
        </w:rPr>
        <w:t>图3.1-1 排污口地理位置示意图</w:t>
      </w:r>
    </w:p>
    <w:p>
      <w:pPr>
        <w:pStyle w:val="3"/>
        <w:bidi w:val="0"/>
        <w:ind w:left="0" w:leftChars="0" w:firstLine="0" w:firstLineChars="0"/>
        <w:rPr>
          <w:rFonts w:hint="default"/>
          <w:color w:val="auto"/>
          <w:lang w:eastAsia="zh-CN"/>
        </w:rPr>
      </w:pPr>
      <w:bookmarkStart w:id="70" w:name="_Toc16048"/>
      <w:r>
        <w:rPr>
          <w:rFonts w:hint="eastAsia"/>
          <w:color w:val="auto"/>
          <w:lang w:val="en-US" w:eastAsia="zh-CN"/>
        </w:rPr>
        <w:t>排污口</w:t>
      </w:r>
      <w:r>
        <w:rPr>
          <w:rFonts w:hint="default"/>
          <w:color w:val="auto"/>
          <w:lang w:eastAsia="zh-CN"/>
        </w:rPr>
        <w:t>性质</w:t>
      </w:r>
      <w:bookmarkEnd w:id="70"/>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spacing w:val="-2"/>
          <w:sz w:val="24"/>
          <w:szCs w:val="24"/>
        </w:rPr>
      </w:pPr>
      <w:r>
        <w:rPr>
          <w:rFonts w:hint="default"/>
          <w:spacing w:val="-2"/>
          <w:sz w:val="24"/>
          <w:szCs w:val="24"/>
        </w:rPr>
        <w:t>本项目排污口的性质为新建。</w:t>
      </w:r>
    </w:p>
    <w:p>
      <w:pPr>
        <w:pStyle w:val="3"/>
        <w:bidi w:val="0"/>
        <w:ind w:left="0" w:leftChars="0" w:firstLine="0" w:firstLineChars="0"/>
        <w:rPr>
          <w:rFonts w:hint="default"/>
          <w:color w:val="auto"/>
          <w:lang w:val="en-US" w:eastAsia="zh-CN"/>
        </w:rPr>
      </w:pPr>
      <w:bookmarkStart w:id="71" w:name="_Toc11465"/>
      <w:bookmarkStart w:id="72" w:name="_Toc18136"/>
      <w:bookmarkStart w:id="73" w:name="_Toc13421"/>
      <w:bookmarkStart w:id="74" w:name="_Toc5781"/>
      <w:r>
        <w:rPr>
          <w:rFonts w:hint="default"/>
          <w:color w:val="auto"/>
          <w:lang w:val="en-US" w:eastAsia="zh-CN"/>
        </w:rPr>
        <w:t>排污口分类</w:t>
      </w:r>
      <w:bookmarkEnd w:id="71"/>
      <w:bookmarkEnd w:id="72"/>
      <w:bookmarkEnd w:id="73"/>
      <w:bookmarkEnd w:id="74"/>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sz w:val="24"/>
          <w:szCs w:val="24"/>
        </w:rPr>
      </w:pPr>
      <w:r>
        <w:rPr>
          <w:spacing w:val="-2"/>
          <w:sz w:val="24"/>
          <w:szCs w:val="24"/>
        </w:rPr>
        <w:t>潼关县桐峪镇污水处理站</w:t>
      </w:r>
      <w:r>
        <w:rPr>
          <w:rFonts w:hint="eastAsia"/>
          <w:spacing w:val="-2"/>
          <w:sz w:val="24"/>
          <w:szCs w:val="24"/>
          <w:lang w:val="en-US" w:eastAsia="zh-CN"/>
        </w:rPr>
        <w:t>项目</w:t>
      </w:r>
      <w:r>
        <w:rPr>
          <w:rFonts w:hint="default" w:ascii="Times New Roman" w:hAnsi="Times New Roman" w:cs="Times New Roman"/>
          <w:sz w:val="24"/>
          <w:szCs w:val="24"/>
        </w:rPr>
        <w:t>主要</w:t>
      </w:r>
      <w:r>
        <w:rPr>
          <w:rFonts w:hint="eastAsia" w:ascii="Times New Roman" w:hAnsi="Times New Roman" w:cs="Times New Roman"/>
          <w:sz w:val="24"/>
          <w:szCs w:val="24"/>
          <w:lang w:val="en-US" w:eastAsia="zh-CN"/>
        </w:rPr>
        <w:t>为处理后的生活污水</w:t>
      </w:r>
      <w:r>
        <w:rPr>
          <w:rFonts w:hint="default" w:ascii="Times New Roman" w:hAnsi="Times New Roman" w:cs="Times New Roman"/>
          <w:sz w:val="24"/>
          <w:szCs w:val="24"/>
        </w:rPr>
        <w:t>，因此本项目设置的排污口类型为城镇污水处理厂排污口。</w:t>
      </w:r>
    </w:p>
    <w:p>
      <w:pPr>
        <w:pStyle w:val="3"/>
        <w:bidi w:val="0"/>
        <w:ind w:left="0" w:leftChars="0" w:firstLine="0" w:firstLineChars="0"/>
        <w:rPr>
          <w:rFonts w:hint="default"/>
          <w:color w:val="auto"/>
          <w:lang w:val="en-US" w:eastAsia="zh-CN"/>
        </w:rPr>
      </w:pPr>
      <w:bookmarkStart w:id="75" w:name="_Toc446"/>
      <w:bookmarkStart w:id="76" w:name="_Toc25436"/>
      <w:bookmarkStart w:id="77" w:name="_Toc28298"/>
      <w:bookmarkStart w:id="78" w:name="_Toc16746"/>
      <w:r>
        <w:rPr>
          <w:rFonts w:hint="default"/>
          <w:color w:val="auto"/>
          <w:lang w:val="en-US" w:eastAsia="zh-CN"/>
        </w:rPr>
        <w:t>入河方式</w:t>
      </w:r>
      <w:bookmarkEnd w:id="75"/>
      <w:bookmarkEnd w:id="76"/>
      <w:bookmarkEnd w:id="77"/>
      <w:bookmarkEnd w:id="78"/>
    </w:p>
    <w:p>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kern w:val="2"/>
          <w:sz w:val="24"/>
          <w:szCs w:val="24"/>
          <w:lang w:val="en-US" w:eastAsia="zh-CN" w:bidi="ar-SA"/>
        </w:rPr>
      </w:pPr>
      <w:r>
        <w:rPr>
          <w:rFonts w:hint="default" w:ascii="Times New Roman" w:hAnsi="Times New Roman" w:cs="Times New Roman"/>
          <w:sz w:val="24"/>
          <w:szCs w:val="24"/>
        </w:rPr>
        <w:t>本项目</w:t>
      </w:r>
      <w:r>
        <w:rPr>
          <w:rFonts w:hint="eastAsia" w:cs="Times New Roman"/>
          <w:sz w:val="24"/>
          <w:szCs w:val="24"/>
          <w:lang w:val="en-US" w:eastAsia="zh-CN"/>
        </w:rPr>
        <w:t>尾水自污水站经由暗管排入桐峪河，</w:t>
      </w:r>
      <w:r>
        <w:rPr>
          <w:rFonts w:hint="default" w:ascii="Times New Roman" w:hAnsi="Times New Roman" w:cs="Times New Roman"/>
          <w:sz w:val="24"/>
          <w:szCs w:val="24"/>
        </w:rPr>
        <w:t>采用</w:t>
      </w:r>
      <w:r>
        <w:rPr>
          <w:rFonts w:hint="eastAsia" w:cs="Times New Roman"/>
          <w:sz w:val="24"/>
          <w:szCs w:val="24"/>
          <w:lang w:eastAsia="zh-CN"/>
        </w:rPr>
        <w:t>敞开</w:t>
      </w:r>
      <w:r>
        <w:rPr>
          <w:rFonts w:hint="eastAsia" w:cs="Times New Roman"/>
          <w:sz w:val="24"/>
          <w:szCs w:val="24"/>
          <w:lang w:val="en-US" w:eastAsia="zh-CN"/>
        </w:rPr>
        <w:t>式</w:t>
      </w:r>
      <w:r>
        <w:rPr>
          <w:rFonts w:hint="eastAsia" w:ascii="Times New Roman" w:hAnsi="Times New Roman" w:cs="Times New Roman"/>
          <w:sz w:val="24"/>
          <w:szCs w:val="24"/>
          <w:lang w:val="en-US" w:eastAsia="zh-CN"/>
        </w:rPr>
        <w:t>管道</w:t>
      </w:r>
      <w:r>
        <w:rPr>
          <w:rFonts w:hint="default" w:ascii="Times New Roman" w:hAnsi="Times New Roman" w:cs="Times New Roman"/>
          <w:sz w:val="24"/>
          <w:szCs w:val="24"/>
        </w:rPr>
        <w:t>排入</w:t>
      </w:r>
      <w:r>
        <w:rPr>
          <w:rFonts w:hint="eastAsia" w:cs="Times New Roman"/>
          <w:sz w:val="24"/>
          <w:szCs w:val="24"/>
          <w:lang w:val="en-US" w:eastAsia="zh-CN"/>
        </w:rPr>
        <w:t>桐峪河</w:t>
      </w:r>
      <w:r>
        <w:rPr>
          <w:rFonts w:hint="default" w:ascii="Times New Roman" w:hAnsi="Times New Roman" w:cs="Times New Roman"/>
          <w:color w:val="auto"/>
          <w:sz w:val="24"/>
          <w:szCs w:val="24"/>
        </w:rPr>
        <w:t>，</w:t>
      </w:r>
      <w:r>
        <w:rPr>
          <w:rFonts w:hint="eastAsia" w:cs="Times New Roman"/>
          <w:color w:val="auto"/>
          <w:sz w:val="24"/>
          <w:szCs w:val="24"/>
          <w:lang w:eastAsia="zh-CN"/>
        </w:rPr>
        <w:t>前置混凝土块起</w:t>
      </w:r>
      <w:r>
        <w:rPr>
          <w:rFonts w:hint="eastAsia" w:cs="Times New Roman"/>
          <w:color w:val="auto"/>
          <w:sz w:val="24"/>
          <w:szCs w:val="24"/>
          <w:lang w:val="en-US" w:eastAsia="zh-CN"/>
        </w:rPr>
        <w:t>消能作用，减少对河床冲刷</w:t>
      </w:r>
      <w:r>
        <w:rPr>
          <w:rFonts w:hint="eastAsia" w:cs="Times New Roman"/>
          <w:color w:val="auto"/>
          <w:sz w:val="24"/>
          <w:szCs w:val="24"/>
          <w:lang w:eastAsia="zh-CN"/>
        </w:rPr>
        <w:t>。排水口出口标高约</w:t>
      </w:r>
      <w:r>
        <w:rPr>
          <w:rFonts w:hint="eastAsia" w:cs="Times New Roman"/>
          <w:color w:val="auto"/>
          <w:sz w:val="24"/>
          <w:szCs w:val="24"/>
          <w:lang w:val="en-US" w:eastAsia="zh-CN"/>
        </w:rPr>
        <w:t>1m左右，并通过</w:t>
      </w:r>
      <w:r>
        <w:rPr>
          <w:rFonts w:hint="eastAsia" w:ascii="宋体" w:hAnsi="宋体" w:eastAsia="宋体" w:cs="宋体"/>
          <w:color w:val="auto"/>
          <w:spacing w:val="0"/>
          <w:sz w:val="24"/>
          <w:szCs w:val="24"/>
          <w:lang w:val="en-US" w:eastAsia="zh-CN"/>
        </w:rPr>
        <w:t>污水管排入河道，出水口采用八字式管道出水口（浆砌块石）</w:t>
      </w:r>
      <w:r>
        <w:rPr>
          <w:rFonts w:hint="eastAsia" w:cs="Times New Roman"/>
          <w:color w:val="auto"/>
          <w:sz w:val="24"/>
          <w:szCs w:val="24"/>
          <w:lang w:val="en-US" w:eastAsia="zh-CN"/>
        </w:rPr>
        <w:t>。</w:t>
      </w:r>
      <w:r>
        <w:rPr>
          <w:rFonts w:hint="default" w:ascii="Times New Roman" w:hAnsi="Times New Roman" w:cs="Times New Roman"/>
          <w:color w:val="auto"/>
          <w:sz w:val="24"/>
          <w:szCs w:val="24"/>
        </w:rPr>
        <w:t>污水排放方式为连续排放。</w:t>
      </w:r>
      <w:r>
        <w:rPr>
          <w:rFonts w:hint="eastAsia" w:ascii="宋体" w:hAnsi="宋体" w:eastAsia="宋体" w:cs="宋体"/>
          <w:spacing w:val="7"/>
          <w:kern w:val="2"/>
          <w:sz w:val="24"/>
          <w:szCs w:val="24"/>
          <w:u w:val="none" w:color="auto"/>
          <w:lang w:val="en-US" w:eastAsia="zh-CN" w:bidi="ar-SA"/>
        </w:rPr>
        <w:t>详见附图2</w:t>
      </w:r>
      <w:r>
        <w:rPr>
          <w:rFonts w:hint="eastAsia" w:ascii="Times New Roman" w:hAnsi="Times New Roman" w:cs="Times New Roman"/>
          <w:color w:val="auto"/>
          <w:sz w:val="24"/>
          <w:szCs w:val="24"/>
          <w:lang w:val="en-US" w:eastAsia="zh-CN"/>
        </w:rPr>
        <w:t>排污口规范化建设设计图</w:t>
      </w:r>
      <w:r>
        <w:rPr>
          <w:rFonts w:hint="eastAsia" w:ascii="Times New Roman" w:hAnsi="Times New Roman" w:cs="Times New Roman"/>
          <w:kern w:val="2"/>
          <w:sz w:val="24"/>
          <w:szCs w:val="24"/>
          <w:lang w:val="en-US" w:eastAsia="zh-CN" w:bidi="ar-SA"/>
        </w:rPr>
        <w:t>。</w:t>
      </w:r>
    </w:p>
    <w:p>
      <w:pPr>
        <w:pStyle w:val="2"/>
        <w:bidi w:val="0"/>
        <w:ind w:left="0" w:leftChars="0" w:firstLine="0" w:firstLineChars="0"/>
        <w:rPr>
          <w:rFonts w:hint="default"/>
        </w:rPr>
      </w:pPr>
      <w:bookmarkStart w:id="79" w:name="_Toc20030"/>
      <w:bookmarkStart w:id="80" w:name="_Toc25139"/>
      <w:bookmarkStart w:id="81" w:name="_Toc1163"/>
      <w:bookmarkStart w:id="82" w:name="_Toc23376"/>
      <w:r>
        <w:rPr>
          <w:rFonts w:hint="default"/>
        </w:rPr>
        <w:t>入河排污口设置</w:t>
      </w:r>
      <w:r>
        <w:rPr>
          <w:rFonts w:hint="eastAsia"/>
          <w:lang w:eastAsia="zh-CN"/>
        </w:rPr>
        <w:t>对水功能区水质和水生态影响分析</w:t>
      </w:r>
      <w:bookmarkEnd w:id="79"/>
      <w:bookmarkEnd w:id="80"/>
      <w:bookmarkEnd w:id="81"/>
      <w:bookmarkEnd w:id="82"/>
    </w:p>
    <w:p>
      <w:pPr>
        <w:pStyle w:val="3"/>
        <w:bidi w:val="0"/>
        <w:ind w:left="0" w:leftChars="0" w:firstLine="0" w:firstLineChars="0"/>
        <w:rPr>
          <w:rFonts w:hint="default"/>
          <w:lang w:eastAsia="zh-CN"/>
        </w:rPr>
      </w:pPr>
      <w:bookmarkStart w:id="83" w:name="_Toc9726"/>
      <w:bookmarkStart w:id="84" w:name="_Toc26783"/>
      <w:bookmarkStart w:id="85" w:name="_Toc30800"/>
      <w:r>
        <w:rPr>
          <w:rFonts w:hint="default"/>
          <w:lang w:eastAsia="zh-CN"/>
        </w:rPr>
        <w:t>水功能区（水域）保护水质管理目标与要求</w:t>
      </w:r>
      <w:bookmarkEnd w:id="83"/>
      <w:bookmarkEnd w:id="84"/>
    </w:p>
    <w:p>
      <w:pPr>
        <w:pStyle w:val="4"/>
        <w:keepNext/>
        <w:keepLines/>
        <w:pageBreakBefore w:val="0"/>
        <w:widowControl w:val="0"/>
        <w:tabs>
          <w:tab w:val="left" w:pos="1055"/>
          <w:tab w:val="clear" w:pos="420"/>
        </w:tabs>
        <w:kinsoku/>
        <w:wordWrap/>
        <w:overflowPunct/>
        <w:topLinePunct w:val="0"/>
        <w:autoSpaceDE/>
        <w:autoSpaceDN/>
        <w:bidi w:val="0"/>
        <w:adjustRightInd/>
        <w:snapToGrid/>
        <w:spacing w:before="0" w:after="0" w:line="520" w:lineRule="exact"/>
        <w:ind w:left="0" w:right="0"/>
        <w:jc w:val="left"/>
        <w:textAlignment w:val="auto"/>
        <w:rPr>
          <w:rFonts w:hint="default" w:ascii="Times New Roman" w:hAnsi="Times New Roman" w:eastAsia="宋体" w:cs="Times New Roman"/>
          <w:b w:val="0"/>
          <w:bCs w:val="0"/>
          <w:sz w:val="24"/>
          <w:szCs w:val="24"/>
          <w:highlight w:val="none"/>
        </w:rPr>
      </w:pPr>
      <w:bookmarkStart w:id="86" w:name="3.1.1.水功能区划与水质管理目标"/>
      <w:bookmarkEnd w:id="86"/>
      <w:r>
        <w:rPr>
          <w:rFonts w:hint="default" w:ascii="Times New Roman" w:hAnsi="Times New Roman" w:eastAsia="宋体" w:cs="Times New Roman"/>
          <w:spacing w:val="-1"/>
          <w:sz w:val="24"/>
          <w:szCs w:val="24"/>
          <w:highlight w:val="none"/>
        </w:rPr>
        <w:t>水功能区划与水质管理目标</w:t>
      </w:r>
    </w:p>
    <w:p>
      <w:pPr>
        <w:pStyle w:val="4"/>
        <w:keepNext/>
        <w:keepLines/>
        <w:pageBreakBefore w:val="0"/>
        <w:widowControl w:val="0"/>
        <w:numPr>
          <w:ilvl w:val="2"/>
          <w:numId w:val="0"/>
        </w:numPr>
        <w:tabs>
          <w:tab w:val="left" w:pos="1055"/>
          <w:tab w:val="clear" w:pos="420"/>
        </w:tabs>
        <w:kinsoku/>
        <w:wordWrap/>
        <w:overflowPunct/>
        <w:topLinePunct w:val="0"/>
        <w:autoSpaceDE/>
        <w:autoSpaceDN/>
        <w:bidi w:val="0"/>
        <w:adjustRightInd/>
        <w:snapToGrid/>
        <w:spacing w:before="0" w:after="0" w:line="520" w:lineRule="exact"/>
        <w:ind w:right="0" w:rightChars="0" w:firstLine="468"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按照</w:t>
      </w:r>
      <w:r>
        <w:rPr>
          <w:rFonts w:hint="default" w:ascii="Times New Roman" w:hAnsi="Times New Roman" w:eastAsia="宋体" w:cs="Times New Roman"/>
          <w:sz w:val="24"/>
          <w:szCs w:val="24"/>
          <w:highlight w:val="none"/>
        </w:rPr>
        <w:t>2004</w:t>
      </w:r>
      <w:r>
        <w:rPr>
          <w:rFonts w:hint="default" w:ascii="Times New Roman" w:hAnsi="Times New Roman" w:eastAsia="宋体" w:cs="Times New Roman"/>
          <w:spacing w:val="-4"/>
          <w:sz w:val="24"/>
          <w:szCs w:val="24"/>
          <w:highlight w:val="none"/>
        </w:rPr>
        <w:t>年陕政办发〔2004〕100</w:t>
      </w:r>
      <w:r>
        <w:rPr>
          <w:rFonts w:hint="default" w:ascii="Times New Roman" w:hAnsi="Times New Roman" w:eastAsia="宋体" w:cs="Times New Roman"/>
          <w:sz w:val="24"/>
          <w:szCs w:val="24"/>
          <w:highlight w:val="none"/>
        </w:rPr>
        <w:t>号《陕西省人民政府办公厅关于印发陕西省水功能区划的通知》的内容</w:t>
      </w:r>
      <w:r>
        <w:rPr>
          <w:rFonts w:hint="eastAsia" w:ascii="Times New Roman" w:hAnsi="Times New Roman" w:eastAsia="宋体" w:cs="Times New Roman"/>
          <w:sz w:val="24"/>
          <w:szCs w:val="24"/>
          <w:highlight w:val="none"/>
          <w:lang w:val="en-US" w:eastAsia="zh-CN"/>
        </w:rPr>
        <w:t>及2023年陕环发</w:t>
      </w:r>
      <w:r>
        <w:rPr>
          <w:rFonts w:hint="default" w:ascii="Times New Roman" w:hAnsi="Times New Roman" w:eastAsia="宋体" w:cs="Times New Roman"/>
          <w:spacing w:val="-4"/>
          <w:sz w:val="24"/>
          <w:szCs w:val="24"/>
          <w:highlight w:val="none"/>
        </w:rPr>
        <w:t>〔</w:t>
      </w:r>
      <w:r>
        <w:rPr>
          <w:rFonts w:hint="eastAsia" w:ascii="Times New Roman" w:hAnsi="Times New Roman" w:eastAsia="宋体" w:cs="Times New Roman"/>
          <w:spacing w:val="-4"/>
          <w:sz w:val="24"/>
          <w:szCs w:val="24"/>
          <w:highlight w:val="none"/>
          <w:lang w:val="en-US" w:eastAsia="zh-CN"/>
        </w:rPr>
        <w:t>2023</w:t>
      </w:r>
      <w:r>
        <w:rPr>
          <w:rFonts w:hint="default" w:ascii="Times New Roman" w:hAnsi="Times New Roman" w:eastAsia="宋体" w:cs="Times New Roman"/>
          <w:spacing w:val="-4"/>
          <w:sz w:val="24"/>
          <w:szCs w:val="24"/>
          <w:highlight w:val="none"/>
        </w:rPr>
        <w:t>〕</w:t>
      </w:r>
      <w:r>
        <w:rPr>
          <w:rFonts w:hint="eastAsia" w:ascii="Times New Roman" w:hAnsi="Times New Roman" w:eastAsia="宋体" w:cs="Times New Roman"/>
          <w:spacing w:val="-4"/>
          <w:sz w:val="24"/>
          <w:szCs w:val="24"/>
          <w:highlight w:val="none"/>
          <w:lang w:val="en-US" w:eastAsia="zh-CN"/>
        </w:rPr>
        <w:t>22</w:t>
      </w:r>
      <w:r>
        <w:rPr>
          <w:rFonts w:hint="default" w:ascii="Times New Roman" w:hAnsi="Times New Roman" w:eastAsia="宋体" w:cs="Times New Roman"/>
          <w:sz w:val="24"/>
          <w:szCs w:val="24"/>
          <w:highlight w:val="none"/>
        </w:rPr>
        <w:t>号</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陕西省生态环境厅关于规范我省入河排污口设置审批工作的通知</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的内容，陕西省黄河流域</w:t>
      </w:r>
      <w:r>
        <w:rPr>
          <w:rFonts w:hint="default" w:ascii="Times New Roman" w:hAnsi="Times New Roman" w:eastAsia="宋体" w:cs="Times New Roman"/>
          <w:sz w:val="24"/>
          <w:szCs w:val="24"/>
          <w:highlight w:val="none"/>
        </w:rPr>
        <w:t>水功能区划</w:t>
      </w:r>
      <w:r>
        <w:rPr>
          <w:rFonts w:hint="eastAsia" w:ascii="Times New Roman" w:hAnsi="Times New Roman" w:eastAsia="宋体" w:cs="Times New Roman"/>
          <w:sz w:val="24"/>
          <w:szCs w:val="24"/>
          <w:highlight w:val="none"/>
          <w:lang w:val="en-US" w:eastAsia="zh-CN"/>
        </w:rPr>
        <w:t>河流</w:t>
      </w:r>
      <w:r>
        <w:rPr>
          <w:rFonts w:hint="default" w:ascii="Times New Roman" w:hAnsi="Times New Roman" w:eastAsia="宋体" w:cs="Times New Roman"/>
          <w:sz w:val="24"/>
          <w:szCs w:val="24"/>
          <w:highlight w:val="none"/>
        </w:rPr>
        <w:t>共</w:t>
      </w:r>
      <w:r>
        <w:rPr>
          <w:rFonts w:hint="eastAsia" w:ascii="Times New Roman" w:hAnsi="Times New Roman" w:eastAsia="宋体" w:cs="Times New Roman"/>
          <w:sz w:val="24"/>
          <w:szCs w:val="24"/>
          <w:highlight w:val="none"/>
          <w:lang w:val="en-US" w:eastAsia="zh-CN"/>
        </w:rPr>
        <w:t>计7</w:t>
      </w:r>
      <w:r>
        <w:rPr>
          <w:rFonts w:hint="default" w:ascii="Times New Roman" w:hAnsi="Times New Roman" w:eastAsia="宋体" w:cs="Times New Roman"/>
          <w:sz w:val="24"/>
          <w:szCs w:val="24"/>
          <w:highlight w:val="none"/>
        </w:rPr>
        <w:t>4</w:t>
      </w:r>
      <w:r>
        <w:rPr>
          <w:rFonts w:hint="eastAsia" w:ascii="Times New Roman" w:hAnsi="Times New Roman" w:eastAsia="宋体" w:cs="Times New Roman"/>
          <w:sz w:val="24"/>
          <w:szCs w:val="24"/>
          <w:highlight w:val="none"/>
          <w:lang w:val="en-US" w:eastAsia="zh-CN"/>
        </w:rPr>
        <w:t>条</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涉及主要支流有24条，双桥河属于主要支流之一，该项目排污口接纳水体桐峪河属于双桥河流域，</w:t>
      </w:r>
      <w:r>
        <w:rPr>
          <w:rFonts w:hint="default" w:ascii="Times New Roman" w:hAnsi="Times New Roman" w:eastAsia="宋体" w:cs="Times New Roman"/>
          <w:spacing w:val="-1"/>
          <w:sz w:val="24"/>
          <w:szCs w:val="24"/>
          <w:highlight w:val="none"/>
        </w:rPr>
        <w:t>水功能区划与水质管理目标</w:t>
      </w:r>
      <w:r>
        <w:rPr>
          <w:rFonts w:hint="default" w:ascii="Times New Roman" w:hAnsi="Times New Roman" w:eastAsia="宋体" w:cs="Times New Roman"/>
          <w:sz w:val="24"/>
          <w:szCs w:val="24"/>
          <w:highlight w:val="none"/>
        </w:rPr>
        <w:t>详见表</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-1。</w:t>
      </w:r>
    </w:p>
    <w:p>
      <w:pPr>
        <w:pStyle w:val="17"/>
        <w:keepNext w:val="0"/>
        <w:keepLines w:val="0"/>
        <w:pageBreakBefore w:val="0"/>
        <w:widowControl w:val="0"/>
        <w:kinsoku/>
        <w:wordWrap/>
        <w:overflowPunct/>
        <w:topLinePunct w:val="0"/>
        <w:autoSpaceDE/>
        <w:autoSpaceDN/>
        <w:bidi w:val="0"/>
        <w:adjustRightInd/>
        <w:snapToGrid w:val="0"/>
        <w:spacing w:line="240" w:lineRule="auto"/>
        <w:ind w:left="142" w:firstLine="440" w:firstLineChars="200"/>
        <w:jc w:val="center"/>
        <w:textAlignment w:val="auto"/>
        <w:rPr>
          <w:rFonts w:hint="default" w:ascii="微软雅黑" w:hAnsi="微软雅黑" w:eastAsia="微软雅黑" w:cs="微软雅黑"/>
          <w:color w:val="818181"/>
          <w:spacing w:val="15"/>
          <w:sz w:val="19"/>
          <w:szCs w:val="19"/>
        </w:rPr>
      </w:pPr>
      <w:r>
        <w:rPr>
          <w:rFonts w:hint="default" w:ascii="微软雅黑" w:hAnsi="微软雅黑" w:eastAsia="微软雅黑" w:cs="微软雅黑"/>
          <w:color w:val="818181"/>
          <w:spacing w:val="15"/>
          <w:sz w:val="19"/>
          <w:szCs w:val="19"/>
        </w:rPr>
        <w:t>表</w:t>
      </w:r>
      <w:r>
        <w:rPr>
          <w:rFonts w:hint="eastAsia" w:ascii="微软雅黑" w:hAnsi="微软雅黑" w:eastAsia="微软雅黑" w:cs="微软雅黑"/>
          <w:color w:val="818181"/>
          <w:spacing w:val="15"/>
          <w:sz w:val="19"/>
          <w:szCs w:val="19"/>
          <w:lang w:val="en-US" w:eastAsia="zh-CN"/>
        </w:rPr>
        <w:t>4</w:t>
      </w:r>
      <w:r>
        <w:rPr>
          <w:rFonts w:hint="default" w:ascii="微软雅黑" w:hAnsi="微软雅黑" w:eastAsia="微软雅黑" w:cs="微软雅黑"/>
          <w:color w:val="818181"/>
          <w:spacing w:val="15"/>
          <w:sz w:val="19"/>
          <w:szCs w:val="19"/>
        </w:rPr>
        <w:t>.</w:t>
      </w:r>
      <w:r>
        <w:rPr>
          <w:rFonts w:hint="eastAsia" w:ascii="微软雅黑" w:hAnsi="微软雅黑" w:eastAsia="微软雅黑" w:cs="微软雅黑"/>
          <w:color w:val="818181"/>
          <w:spacing w:val="15"/>
          <w:sz w:val="19"/>
          <w:szCs w:val="19"/>
          <w:lang w:val="en-US" w:eastAsia="zh-CN"/>
        </w:rPr>
        <w:t>1</w:t>
      </w:r>
      <w:r>
        <w:rPr>
          <w:rFonts w:hint="default" w:ascii="微软雅黑" w:hAnsi="微软雅黑" w:eastAsia="微软雅黑" w:cs="微软雅黑"/>
          <w:color w:val="818181"/>
          <w:spacing w:val="15"/>
          <w:sz w:val="19"/>
          <w:szCs w:val="19"/>
        </w:rPr>
        <w:t>-1水功能区划与水质管理目标</w:t>
      </w:r>
    </w:p>
    <w:p>
      <w:pPr>
        <w:pStyle w:val="4"/>
        <w:numPr>
          <w:ilvl w:val="2"/>
          <w:numId w:val="0"/>
        </w:numPr>
        <w:bidi w:val="0"/>
        <w:ind w:leftChars="0"/>
        <w:outlineLvl w:val="9"/>
        <w:rPr>
          <w:rFonts w:hint="default"/>
          <w:lang w:eastAsia="zh-CN"/>
        </w:rPr>
      </w:pPr>
      <w:r>
        <w:rPr>
          <w:rFonts w:hint="default"/>
          <w:lang w:eastAsia="zh-CN"/>
        </w:rPr>
        <w:drawing>
          <wp:inline distT="0" distB="0" distL="114300" distR="114300">
            <wp:extent cx="5632450" cy="3128010"/>
            <wp:effectExtent l="0" t="0" r="6350" b="15240"/>
            <wp:docPr id="11" name="图片 11" descr="171946414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9464149438"/>
                    <pic:cNvPicPr>
                      <a:picLocks noChangeAspect="1"/>
                    </pic:cNvPicPr>
                  </pic:nvPicPr>
                  <pic:blipFill>
                    <a:blip r:embed="rId9"/>
                    <a:stretch>
                      <a:fillRect/>
                    </a:stretch>
                  </pic:blipFill>
                  <pic:spPr>
                    <a:xfrm>
                      <a:off x="0" y="0"/>
                      <a:ext cx="5632450" cy="3128010"/>
                    </a:xfrm>
                    <a:prstGeom prst="rect">
                      <a:avLst/>
                    </a:prstGeom>
                  </pic:spPr>
                </pic:pic>
              </a:graphicData>
            </a:graphic>
          </wp:inline>
        </w:drawing>
      </w:r>
    </w:p>
    <w:p>
      <w:pPr>
        <w:pStyle w:val="4"/>
        <w:keepNext/>
        <w:keepLines/>
        <w:pageBreakBefore w:val="0"/>
        <w:widowControl w:val="0"/>
        <w:tabs>
          <w:tab w:val="left" w:pos="1055"/>
          <w:tab w:val="clear" w:pos="420"/>
        </w:tabs>
        <w:kinsoku/>
        <w:wordWrap/>
        <w:overflowPunct/>
        <w:topLinePunct w:val="0"/>
        <w:autoSpaceDE/>
        <w:autoSpaceDN/>
        <w:bidi w:val="0"/>
        <w:adjustRightInd/>
        <w:snapToGrid/>
        <w:spacing w:before="0" w:after="0" w:line="520" w:lineRule="exact"/>
        <w:ind w:left="0" w:right="0"/>
        <w:jc w:val="left"/>
        <w:textAlignment w:val="auto"/>
        <w:rPr>
          <w:rFonts w:hint="default" w:ascii="Times New Roman" w:hAnsi="Times New Roman" w:eastAsia="宋体" w:cs="Times New Roman"/>
          <w:spacing w:val="-1"/>
          <w:sz w:val="24"/>
          <w:szCs w:val="24"/>
          <w:highlight w:val="none"/>
          <w:lang w:eastAsia="zh-CN"/>
        </w:rPr>
      </w:pPr>
      <w:r>
        <w:rPr>
          <w:rFonts w:hint="default" w:ascii="Times New Roman" w:hAnsi="Times New Roman" w:eastAsia="宋体" w:cs="Times New Roman"/>
          <w:spacing w:val="-1"/>
          <w:sz w:val="24"/>
          <w:szCs w:val="24"/>
          <w:highlight w:val="none"/>
        </w:rPr>
        <w:t>水功能（水域）纳污能力及限制排放总量</w:t>
      </w:r>
    </w:p>
    <w:bookmarkEnd w:id="85"/>
    <w:p>
      <w:pPr>
        <w:pStyle w:val="17"/>
        <w:spacing w:before="204" w:line="355" w:lineRule="auto"/>
        <w:ind w:left="115" w:right="101"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桐峪河属黄河水系，发源于潼关县安乐乡潼峪村南岔组的秦岭北麓，由南向北流经江子湾、侯家村、槐树庙</w:t>
      </w:r>
      <w:r>
        <w:rPr>
          <w:rFonts w:hint="eastAsia" w:cs="宋体"/>
          <w:kern w:val="2"/>
          <w:sz w:val="24"/>
          <w:szCs w:val="24"/>
          <w:lang w:val="en-US" w:eastAsia="zh-CN" w:bidi="ar-SA"/>
        </w:rPr>
        <w:t>，</w:t>
      </w:r>
      <w:r>
        <w:rPr>
          <w:rFonts w:hint="eastAsia" w:ascii="宋体" w:hAnsi="宋体" w:eastAsia="宋体" w:cs="宋体"/>
          <w:kern w:val="2"/>
          <w:sz w:val="24"/>
          <w:szCs w:val="24"/>
          <w:lang w:val="en-US" w:eastAsia="zh-CN" w:bidi="ar-SA"/>
        </w:rPr>
        <w:t>于安乐乡村南出峪，继续北流，经南寨子、老虎村、南刘村，于周家村纳禁沟河后继 续北流，于秦东镇港口附近汇入黄河，河道全长29.7km</w:t>
      </w:r>
      <w:r>
        <w:rPr>
          <w:rFonts w:hint="eastAsia" w:cs="宋体"/>
          <w:kern w:val="2"/>
          <w:sz w:val="24"/>
          <w:szCs w:val="24"/>
          <w:lang w:val="en-US" w:eastAsia="zh-CN" w:bidi="ar-SA"/>
        </w:rPr>
        <w:t>，</w:t>
      </w:r>
      <w:r>
        <w:rPr>
          <w:rFonts w:hint="eastAsia" w:ascii="宋体" w:hAnsi="宋体" w:eastAsia="宋体" w:cs="宋体"/>
          <w:kern w:val="2"/>
          <w:sz w:val="24"/>
          <w:szCs w:val="24"/>
          <w:lang w:val="en-US" w:eastAsia="zh-CN" w:bidi="ar-SA"/>
        </w:rPr>
        <w:t>流域面积111</w:t>
      </w:r>
      <w:r>
        <w:rPr>
          <w:rFonts w:hint="eastAsia" w:cs="宋体"/>
          <w:kern w:val="2"/>
          <w:sz w:val="24"/>
          <w:szCs w:val="24"/>
          <w:lang w:val="en-US" w:eastAsia="zh-CN" w:bidi="ar-SA"/>
        </w:rPr>
        <w:t>.</w:t>
      </w:r>
      <w:r>
        <w:rPr>
          <w:rFonts w:hint="eastAsia" w:ascii="宋体" w:hAnsi="宋体" w:eastAsia="宋体" w:cs="宋体"/>
          <w:kern w:val="2"/>
          <w:sz w:val="24"/>
          <w:szCs w:val="24"/>
          <w:lang w:val="en-US" w:eastAsia="zh-CN" w:bidi="ar-SA"/>
        </w:rPr>
        <w:t>1km</w:t>
      </w:r>
      <w:r>
        <w:rPr>
          <w:rFonts w:hint="eastAsia" w:ascii="宋体" w:hAnsi="宋体" w:eastAsia="宋体" w:cs="宋体"/>
          <w:kern w:val="2"/>
          <w:sz w:val="24"/>
          <w:szCs w:val="24"/>
          <w:vertAlign w:val="superscript"/>
          <w:lang w:val="en-US" w:eastAsia="zh-CN" w:bidi="ar-SA"/>
        </w:rPr>
        <w:t>2</w:t>
      </w:r>
      <w:r>
        <w:rPr>
          <w:rFonts w:hint="eastAsia" w:ascii="宋体" w:hAnsi="宋体" w:eastAsia="宋体" w:cs="宋体"/>
          <w:kern w:val="2"/>
          <w:sz w:val="24"/>
          <w:szCs w:val="24"/>
          <w:lang w:val="en-US" w:eastAsia="zh-CN" w:bidi="ar-SA"/>
        </w:rPr>
        <w:t xml:space="preserve"> ，河道比降41.2‰。桐峪河洪峰特点是峰高历时短、杂草树木较多，水流浑浊，泥沙含量高，河道冲刷严重。</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1）限制排污总量控制目标按照《全国水资源综合规划技术细则》中关于拟定水功能区水质目标的方法：当现状水质未满足水功能区水质类别时，在综合考虑上述因素后，应拟定水质保护目标，水质目标可分阶段达标；当现状水质已满足水功能区水质类别时，应按照水体污染负荷控制不增加的原则，拟定水质保护目标。</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2）限制排污总量控制方法将规划水平年的污染物入河量与纳污能力相比较，如果污染物入河量超过水功能区的纳污能力，需要计算入河削减量和相应的排放削减量；反之，制订入河控制量和排放控制量。制定入河控制量应考虑水功能区的水质状况、水资源可利用量、经济与社会发展现状及未来人口增长和经济社会发展对水资源的需求等。对于经济欠发达、水资源丰富、现状水质良好的地区，污染物入河量可适当放宽，但不得超过水功能区的纳污能力。</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eastAsia" w:ascii="Times New Roman" w:hAnsi="Times New Roman" w:eastAsia="宋体" w:cs="Times New Roman"/>
          <w:spacing w:val="0"/>
          <w:sz w:val="24"/>
          <w:szCs w:val="24"/>
          <w:highlight w:val="none"/>
          <w:lang w:val="en-US" w:eastAsia="zh-CN"/>
        </w:rPr>
      </w:pPr>
      <w:r>
        <w:rPr>
          <w:rFonts w:hint="default" w:ascii="Times New Roman" w:hAnsi="Times New Roman" w:eastAsia="宋体" w:cs="Times New Roman"/>
          <w:spacing w:val="0"/>
          <w:sz w:val="24"/>
          <w:szCs w:val="24"/>
          <w:highlight w:val="none"/>
        </w:rPr>
        <w:t>（3）现状污染物入河量</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center"/>
        <w:textAlignment w:val="auto"/>
        <w:rPr>
          <w:rFonts w:hint="default" w:ascii="宋体" w:hAnsi="宋体" w:eastAsia="宋体" w:cs="宋体"/>
          <w:kern w:val="2"/>
          <w:sz w:val="24"/>
          <w:szCs w:val="24"/>
          <w:lang w:val="en-US" w:eastAsia="zh-CN" w:bidi="ar-SA"/>
        </w:rPr>
      </w:pPr>
      <w:r>
        <w:rPr>
          <w:rFonts w:hint="eastAsia" w:ascii="Times New Roman" w:hAnsi="Times New Roman" w:eastAsia="宋体" w:cs="Times New Roman"/>
          <w:spacing w:val="0"/>
          <w:sz w:val="24"/>
          <w:szCs w:val="24"/>
          <w:highlight w:val="none"/>
          <w:lang w:val="en-US" w:eastAsia="zh-CN"/>
        </w:rPr>
        <w:t>排污口上游</w:t>
      </w:r>
      <w:r>
        <w:rPr>
          <w:rFonts w:hint="default" w:ascii="Times New Roman" w:hAnsi="Times New Roman" w:eastAsia="宋体" w:cs="Times New Roman"/>
          <w:spacing w:val="0"/>
          <w:sz w:val="24"/>
          <w:szCs w:val="24"/>
          <w:highlight w:val="none"/>
          <w:lang w:val="en-US" w:eastAsia="zh-CN"/>
        </w:rPr>
        <w:t>桐峪镇无工业废水</w:t>
      </w:r>
      <w:r>
        <w:rPr>
          <w:rFonts w:hint="eastAsia" w:ascii="Times New Roman" w:hAnsi="Times New Roman" w:eastAsia="宋体" w:cs="Times New Roman"/>
          <w:spacing w:val="0"/>
          <w:kern w:val="2"/>
          <w:sz w:val="24"/>
          <w:szCs w:val="24"/>
          <w:highlight w:val="none"/>
          <w:lang w:val="en-US" w:eastAsia="zh-CN" w:bidi="ar-SA"/>
        </w:rPr>
        <w:t>，本项目建设施工前：</w:t>
      </w:r>
      <w:r>
        <w:rPr>
          <w:rFonts w:hint="default" w:ascii="Times New Roman" w:hAnsi="Times New Roman" w:eastAsia="宋体" w:cs="Times New Roman"/>
          <w:spacing w:val="0"/>
          <w:kern w:val="2"/>
          <w:sz w:val="24"/>
          <w:szCs w:val="24"/>
          <w:highlight w:val="none"/>
          <w:lang w:val="en-US" w:eastAsia="zh-CN" w:bidi="ar-SA"/>
        </w:rPr>
        <w:t>无任何污水收集管网；无污水处理设施；现状产生的污水一部分流入自然沟渠、边沟等散排最终汇入水体；现状镇区大部分污水管道采用雨污合流制明渠收集，就近排入沟道河流；大部分明渠采用钢筋混凝土盖板封闭，由于长期未清理，垃圾和淤泥等堵塞严重；加之渠道蒸发和渗漏，未看到明显污水；仍有部分旱厕。污水的无序排放对镇区人居环境及卫生状况均产生不利影响，同时生活污水的无序排放也对附近水体带来严重污染。</w:t>
      </w:r>
      <w:r>
        <w:rPr>
          <w:rFonts w:hint="eastAsia" w:ascii="Times New Roman" w:hAnsi="Times New Roman" w:eastAsia="宋体" w:cs="Times New Roman"/>
          <w:spacing w:val="0"/>
          <w:kern w:val="2"/>
          <w:sz w:val="24"/>
          <w:szCs w:val="24"/>
          <w:highlight w:val="none"/>
          <w:lang w:val="en-US" w:eastAsia="zh-CN" w:bidi="ar-SA"/>
        </w:rPr>
        <w:t>目前镇区居民生活污水沿巷道两侧排水渠排出，最终排入桐峪河。</w:t>
      </w:r>
      <w:r>
        <w:rPr>
          <w:rFonts w:hint="default" w:ascii="Times New Roman" w:hAnsi="Times New Roman" w:eastAsia="宋体" w:cs="Times New Roman"/>
          <w:spacing w:val="0"/>
          <w:kern w:val="2"/>
          <w:sz w:val="24"/>
          <w:szCs w:val="24"/>
          <w:highlight w:val="none"/>
          <w:lang w:val="en-US" w:eastAsia="zh-CN" w:bidi="ar-SA"/>
        </w:rPr>
        <w:t>本次</w:t>
      </w:r>
      <w:r>
        <w:rPr>
          <w:rFonts w:hint="eastAsia" w:ascii="Times New Roman" w:hAnsi="Times New Roman" w:eastAsia="宋体" w:cs="Times New Roman"/>
          <w:spacing w:val="0"/>
          <w:kern w:val="2"/>
          <w:sz w:val="24"/>
          <w:szCs w:val="24"/>
          <w:highlight w:val="none"/>
          <w:lang w:val="en-US" w:eastAsia="zh-CN" w:bidi="ar-SA"/>
        </w:rPr>
        <w:t>分析</w:t>
      </w:r>
      <w:r>
        <w:rPr>
          <w:rFonts w:hint="default" w:ascii="Times New Roman" w:hAnsi="Times New Roman" w:eastAsia="宋体" w:cs="Times New Roman"/>
          <w:spacing w:val="0"/>
          <w:kern w:val="2"/>
          <w:sz w:val="24"/>
          <w:szCs w:val="24"/>
          <w:highlight w:val="none"/>
          <w:lang w:val="en-US" w:eastAsia="zh-CN" w:bidi="ar-SA"/>
        </w:rPr>
        <w:t>范围内的污水产生浓度参照</w:t>
      </w:r>
      <w:r>
        <w:rPr>
          <w:rFonts w:hint="eastAsia" w:ascii="Times New Roman" w:hAnsi="Times New Roman" w:eastAsia="宋体" w:cs="Times New Roman"/>
          <w:spacing w:val="0"/>
          <w:kern w:val="2"/>
          <w:sz w:val="24"/>
          <w:szCs w:val="24"/>
          <w:highlight w:val="none"/>
          <w:lang w:val="en-US" w:eastAsia="zh-CN" w:bidi="ar-SA"/>
        </w:rPr>
        <w:t>本项目的</w:t>
      </w:r>
      <w:r>
        <w:rPr>
          <w:rFonts w:hint="default" w:ascii="Times New Roman" w:hAnsi="Times New Roman" w:eastAsia="宋体" w:cs="Times New Roman"/>
          <w:spacing w:val="0"/>
          <w:kern w:val="2"/>
          <w:sz w:val="24"/>
          <w:szCs w:val="24"/>
          <w:highlight w:val="none"/>
          <w:lang w:val="en-US" w:eastAsia="zh-CN" w:bidi="ar-SA"/>
        </w:rPr>
        <w:t>设计进水指标，</w:t>
      </w:r>
      <w:r>
        <w:rPr>
          <w:rFonts w:hint="eastAsia" w:ascii="Times New Roman" w:hAnsi="Times New Roman" w:eastAsia="宋体" w:cs="Times New Roman"/>
          <w:spacing w:val="0"/>
          <w:kern w:val="2"/>
          <w:sz w:val="24"/>
          <w:szCs w:val="24"/>
          <w:highlight w:val="none"/>
          <w:lang w:val="en-US" w:eastAsia="zh-CN" w:bidi="ar-SA"/>
        </w:rPr>
        <w:t>生活污</w:t>
      </w:r>
      <w:r>
        <w:rPr>
          <w:rFonts w:hint="default" w:ascii="Times New Roman" w:hAnsi="Times New Roman" w:eastAsia="宋体" w:cs="Times New Roman"/>
          <w:spacing w:val="0"/>
          <w:kern w:val="2"/>
          <w:sz w:val="24"/>
          <w:szCs w:val="24"/>
          <w:highlight w:val="none"/>
          <w:lang w:val="en-US" w:eastAsia="zh-CN" w:bidi="ar-SA"/>
        </w:rPr>
        <w:t>水排放量为</w:t>
      </w:r>
      <w:r>
        <w:rPr>
          <w:rFonts w:hint="eastAsia" w:ascii="Times New Roman" w:hAnsi="Times New Roman" w:eastAsia="宋体" w:cs="Times New Roman"/>
          <w:spacing w:val="0"/>
          <w:kern w:val="2"/>
          <w:sz w:val="24"/>
          <w:szCs w:val="24"/>
          <w:highlight w:val="none"/>
          <w:lang w:val="en-US" w:eastAsia="zh-CN" w:bidi="ar-SA"/>
        </w:rPr>
        <w:t>10.95</w:t>
      </w:r>
      <w:r>
        <w:rPr>
          <w:rFonts w:hint="default" w:ascii="Times New Roman" w:hAnsi="Times New Roman" w:eastAsia="宋体" w:cs="Times New Roman"/>
          <w:spacing w:val="0"/>
          <w:kern w:val="2"/>
          <w:sz w:val="24"/>
          <w:szCs w:val="24"/>
          <w:highlight w:val="none"/>
          <w:lang w:val="en-US" w:eastAsia="zh-CN" w:bidi="ar-SA"/>
        </w:rPr>
        <w:t>万吨/年，</w:t>
      </w:r>
      <w:r>
        <w:rPr>
          <w:rFonts w:hint="eastAsia" w:ascii="Times New Roman" w:hAnsi="Times New Roman" w:eastAsia="宋体" w:cs="Times New Roman"/>
          <w:spacing w:val="0"/>
          <w:kern w:val="2"/>
          <w:sz w:val="24"/>
          <w:szCs w:val="24"/>
          <w:highlight w:val="none"/>
          <w:lang w:val="en-US" w:eastAsia="zh-CN" w:bidi="ar-SA"/>
        </w:rPr>
        <w:t>污染物</w:t>
      </w:r>
      <w:r>
        <w:rPr>
          <w:rFonts w:hint="default" w:ascii="Times New Roman" w:hAnsi="Times New Roman" w:eastAsia="宋体" w:cs="Times New Roman"/>
          <w:spacing w:val="0"/>
          <w:kern w:val="2"/>
          <w:sz w:val="24"/>
          <w:szCs w:val="24"/>
          <w:highlight w:val="none"/>
          <w:lang w:val="en-US" w:eastAsia="zh-CN" w:bidi="ar-SA"/>
        </w:rPr>
        <w:t>COD排放量</w:t>
      </w:r>
      <w:r>
        <w:rPr>
          <w:rFonts w:hint="eastAsia" w:ascii="Times New Roman" w:hAnsi="Times New Roman" w:eastAsia="宋体" w:cs="Times New Roman"/>
          <w:spacing w:val="0"/>
          <w:kern w:val="2"/>
          <w:sz w:val="24"/>
          <w:szCs w:val="24"/>
          <w:highlight w:val="none"/>
          <w:lang w:val="en-US" w:eastAsia="zh-CN" w:bidi="ar-SA"/>
        </w:rPr>
        <w:t>43.8</w:t>
      </w:r>
      <w:r>
        <w:rPr>
          <w:rFonts w:hint="default" w:ascii="Times New Roman" w:hAnsi="Times New Roman" w:eastAsia="宋体" w:cs="Times New Roman"/>
          <w:spacing w:val="0"/>
          <w:kern w:val="2"/>
          <w:sz w:val="24"/>
          <w:szCs w:val="24"/>
          <w:highlight w:val="none"/>
          <w:lang w:val="en-US" w:eastAsia="zh-CN" w:bidi="ar-SA"/>
        </w:rPr>
        <w:t>吨/年，氨氮</w:t>
      </w:r>
      <w:r>
        <w:rPr>
          <w:rFonts w:hint="eastAsia" w:ascii="Times New Roman" w:hAnsi="Times New Roman" w:eastAsia="宋体" w:cs="Times New Roman"/>
          <w:spacing w:val="0"/>
          <w:kern w:val="2"/>
          <w:sz w:val="24"/>
          <w:szCs w:val="24"/>
          <w:highlight w:val="none"/>
          <w:lang w:val="en-US" w:eastAsia="zh-CN" w:bidi="ar-SA"/>
        </w:rPr>
        <w:t>4.93</w:t>
      </w:r>
      <w:r>
        <w:rPr>
          <w:rFonts w:hint="default" w:ascii="Times New Roman" w:hAnsi="Times New Roman" w:eastAsia="宋体" w:cs="Times New Roman"/>
          <w:spacing w:val="0"/>
          <w:kern w:val="2"/>
          <w:sz w:val="24"/>
          <w:szCs w:val="24"/>
          <w:highlight w:val="none"/>
          <w:lang w:val="en-US" w:eastAsia="zh-CN" w:bidi="ar-SA"/>
        </w:rPr>
        <w:t>吨/年。具体见表</w:t>
      </w:r>
      <w:r>
        <w:rPr>
          <w:rFonts w:hint="eastAsia" w:ascii="Times New Roman" w:hAnsi="Times New Roman" w:eastAsia="宋体" w:cs="Times New Roman"/>
          <w:spacing w:val="0"/>
          <w:kern w:val="2"/>
          <w:sz w:val="24"/>
          <w:szCs w:val="24"/>
          <w:highlight w:val="none"/>
          <w:lang w:val="en-US" w:eastAsia="zh-CN" w:bidi="ar-SA"/>
        </w:rPr>
        <w:t>4</w:t>
      </w:r>
      <w:r>
        <w:rPr>
          <w:rFonts w:hint="default" w:ascii="Times New Roman" w:hAnsi="Times New Roman" w:eastAsia="宋体" w:cs="Times New Roman"/>
          <w:spacing w:val="0"/>
          <w:kern w:val="2"/>
          <w:sz w:val="24"/>
          <w:szCs w:val="24"/>
          <w:highlight w:val="none"/>
          <w:lang w:val="en-US" w:eastAsia="zh-CN" w:bidi="ar-SA"/>
        </w:rPr>
        <w:t>.2-1。</w:t>
      </w:r>
      <w:r>
        <w:rPr>
          <w:rFonts w:hint="default" w:ascii="微软雅黑" w:hAnsi="微软雅黑" w:eastAsia="微软雅黑" w:cs="微软雅黑"/>
          <w:color w:val="818181"/>
          <w:spacing w:val="15"/>
          <w:sz w:val="19"/>
          <w:szCs w:val="19"/>
        </w:rPr>
        <w:t>表</w:t>
      </w:r>
      <w:r>
        <w:rPr>
          <w:rFonts w:hint="eastAsia" w:ascii="微软雅黑" w:hAnsi="微软雅黑" w:eastAsia="微软雅黑" w:cs="微软雅黑"/>
          <w:color w:val="818181"/>
          <w:spacing w:val="15"/>
          <w:sz w:val="19"/>
          <w:szCs w:val="19"/>
          <w:lang w:val="en-US" w:eastAsia="zh-CN"/>
        </w:rPr>
        <w:t>4</w:t>
      </w:r>
      <w:r>
        <w:rPr>
          <w:rFonts w:hint="default" w:ascii="微软雅黑" w:hAnsi="微软雅黑" w:eastAsia="微软雅黑" w:cs="微软雅黑"/>
          <w:color w:val="818181"/>
          <w:spacing w:val="15"/>
          <w:sz w:val="19"/>
          <w:szCs w:val="19"/>
        </w:rPr>
        <w:t>.</w:t>
      </w:r>
      <w:r>
        <w:rPr>
          <w:rFonts w:hint="eastAsia" w:ascii="微软雅黑" w:hAnsi="微软雅黑" w:eastAsia="微软雅黑" w:cs="微软雅黑"/>
          <w:color w:val="818181"/>
          <w:spacing w:val="15"/>
          <w:sz w:val="19"/>
          <w:szCs w:val="19"/>
          <w:lang w:val="en-US" w:eastAsia="zh-CN"/>
        </w:rPr>
        <w:t>1</w:t>
      </w:r>
      <w:r>
        <w:rPr>
          <w:rFonts w:hint="default" w:ascii="微软雅黑" w:hAnsi="微软雅黑" w:eastAsia="微软雅黑" w:cs="微软雅黑"/>
          <w:color w:val="818181"/>
          <w:spacing w:val="15"/>
          <w:sz w:val="19"/>
          <w:szCs w:val="19"/>
        </w:rPr>
        <w:t>-</w:t>
      </w:r>
      <w:r>
        <w:rPr>
          <w:rFonts w:hint="eastAsia" w:ascii="微软雅黑" w:hAnsi="微软雅黑" w:eastAsia="微软雅黑" w:cs="微软雅黑"/>
          <w:color w:val="818181"/>
          <w:spacing w:val="15"/>
          <w:sz w:val="19"/>
          <w:szCs w:val="19"/>
          <w:lang w:val="en-US" w:eastAsia="zh-CN"/>
        </w:rPr>
        <w:t>2现状污染物排放量</w:t>
      </w:r>
    </w:p>
    <w:tbl>
      <w:tblPr>
        <w:tblStyle w:val="18"/>
        <w:tblW w:w="8105"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913"/>
        <w:gridCol w:w="1550"/>
        <w:gridCol w:w="1837"/>
        <w:gridCol w:w="2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05" w:type="dxa"/>
            <w:tcBorders>
              <w:top w:val="single" w:color="000000" w:sz="8" w:space="0"/>
              <w:lef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rPr>
            </w:pPr>
            <w:r>
              <w:rPr>
                <w:rFonts w:hint="eastAsia"/>
                <w:spacing w:val="11"/>
                <w:sz w:val="19"/>
                <w:szCs w:val="19"/>
              </w:rPr>
              <w:t>序号</w:t>
            </w:r>
          </w:p>
        </w:tc>
        <w:tc>
          <w:tcPr>
            <w:tcW w:w="1913" w:type="dxa"/>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rPr>
            </w:pPr>
            <w:r>
              <w:rPr>
                <w:rFonts w:hint="eastAsia"/>
                <w:spacing w:val="11"/>
                <w:sz w:val="19"/>
                <w:szCs w:val="19"/>
              </w:rPr>
              <w:t>基本控制项目</w:t>
            </w:r>
          </w:p>
        </w:tc>
        <w:tc>
          <w:tcPr>
            <w:tcW w:w="1550"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val="en-US" w:eastAsia="zh-CN"/>
              </w:rPr>
            </w:pPr>
            <w:r>
              <w:rPr>
                <w:rFonts w:hint="eastAsia"/>
                <w:spacing w:val="11"/>
                <w:sz w:val="19"/>
                <w:szCs w:val="19"/>
                <w:lang w:val="en-US" w:eastAsia="zh-CN"/>
              </w:rPr>
              <w:t>排放浓度</w:t>
            </w:r>
            <w:r>
              <w:rPr>
                <w:color w:val="auto"/>
                <w:spacing w:val="-6"/>
                <w:sz w:val="19"/>
                <w:szCs w:val="19"/>
              </w:rPr>
              <w:t>(mg/L)</w:t>
            </w:r>
          </w:p>
        </w:tc>
        <w:tc>
          <w:tcPr>
            <w:tcW w:w="1837"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val="en-US" w:eastAsia="en-US"/>
              </w:rPr>
            </w:pPr>
            <w:r>
              <w:rPr>
                <w:rFonts w:hint="eastAsia"/>
                <w:spacing w:val="11"/>
                <w:sz w:val="19"/>
                <w:szCs w:val="19"/>
              </w:rPr>
              <w:t>年污水排放量(t)</w:t>
            </w:r>
          </w:p>
        </w:tc>
        <w:tc>
          <w:tcPr>
            <w:tcW w:w="2200"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val="en-US" w:eastAsia="en-US"/>
              </w:rPr>
            </w:pPr>
            <w:r>
              <w:rPr>
                <w:rFonts w:hint="eastAsia"/>
                <w:spacing w:val="11"/>
                <w:sz w:val="19"/>
                <w:szCs w:val="19"/>
              </w:rPr>
              <w:t>年污染物</w:t>
            </w:r>
            <w:r>
              <w:rPr>
                <w:rFonts w:hint="eastAsia"/>
                <w:spacing w:val="11"/>
                <w:sz w:val="19"/>
                <w:szCs w:val="19"/>
                <w:lang w:val="en-US" w:eastAsia="zh-CN"/>
              </w:rPr>
              <w:t>入河</w:t>
            </w:r>
            <w:r>
              <w:rPr>
                <w:rFonts w:hint="eastAsia"/>
                <w:spacing w:val="11"/>
                <w:sz w:val="19"/>
                <w:szCs w:val="19"/>
              </w:rPr>
              <w:t>总量(t)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49" w:hRule="atLeast"/>
        </w:trPr>
        <w:tc>
          <w:tcPr>
            <w:tcW w:w="605" w:type="dxa"/>
            <w:tcBorders>
              <w:left w:val="single" w:color="000000" w:sz="8" w:space="0"/>
            </w:tcBorders>
            <w:vAlign w:val="center"/>
          </w:tcPr>
          <w:p>
            <w:pPr>
              <w:spacing w:before="147" w:line="195"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1</w:t>
            </w:r>
          </w:p>
        </w:tc>
        <w:tc>
          <w:tcPr>
            <w:tcW w:w="1913" w:type="dxa"/>
            <w:vAlign w:val="center"/>
          </w:tcPr>
          <w:p>
            <w:pPr>
              <w:pStyle w:val="17"/>
              <w:spacing w:before="116" w:line="227" w:lineRule="auto"/>
              <w:ind w:left="105"/>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化学需氧量（COD）</w:t>
            </w:r>
          </w:p>
        </w:tc>
        <w:tc>
          <w:tcPr>
            <w:tcW w:w="1550" w:type="dxa"/>
            <w:tcBorders>
              <w:right w:val="single" w:color="000000" w:sz="8" w:space="0"/>
            </w:tcBorders>
            <w:vAlign w:val="center"/>
          </w:tcPr>
          <w:p>
            <w:pPr>
              <w:spacing w:before="147" w:line="195" w:lineRule="auto"/>
              <w:jc w:val="center"/>
              <w:rPr>
                <w:rFonts w:hint="default"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400</w:t>
            </w:r>
          </w:p>
        </w:tc>
        <w:tc>
          <w:tcPr>
            <w:tcW w:w="1837" w:type="dxa"/>
            <w:vMerge w:val="restart"/>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en-US" w:bidi="ar-SA"/>
              </w:rPr>
              <w:t>10.95 万</w:t>
            </w:r>
          </w:p>
        </w:tc>
        <w:tc>
          <w:tcPr>
            <w:tcW w:w="2200" w:type="dxa"/>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43.8</w:t>
            </w:r>
            <w:r>
              <w:rPr>
                <w:rFonts w:hint="eastAsia" w:ascii="宋体" w:hAnsi="宋体" w:eastAsia="宋体" w:cs="宋体"/>
                <w:spacing w:val="11"/>
                <w:kern w:val="2"/>
                <w:sz w:val="19"/>
                <w:szCs w:val="19"/>
                <w:lang w:val="en-US" w:eastAsia="en-US" w:bidi="ar-SA"/>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49" w:hRule="atLeast"/>
        </w:trPr>
        <w:tc>
          <w:tcPr>
            <w:tcW w:w="605" w:type="dxa"/>
            <w:tcBorders>
              <w:left w:val="single" w:color="000000" w:sz="8" w:space="0"/>
            </w:tcBorders>
            <w:vAlign w:val="center"/>
          </w:tcPr>
          <w:p>
            <w:pPr>
              <w:spacing w:before="174" w:line="192" w:lineRule="auto"/>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3</w:t>
            </w:r>
          </w:p>
        </w:tc>
        <w:tc>
          <w:tcPr>
            <w:tcW w:w="1913" w:type="dxa"/>
            <w:vAlign w:val="center"/>
          </w:tcPr>
          <w:p>
            <w:pPr>
              <w:pStyle w:val="17"/>
              <w:spacing w:before="139" w:line="227" w:lineRule="auto"/>
              <w:ind w:left="294"/>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氨氮（以N计）</w:t>
            </w:r>
          </w:p>
        </w:tc>
        <w:tc>
          <w:tcPr>
            <w:tcW w:w="1550" w:type="dxa"/>
            <w:tcBorders>
              <w:right w:val="single" w:color="000000" w:sz="8" w:space="0"/>
            </w:tcBorders>
            <w:vAlign w:val="center"/>
          </w:tcPr>
          <w:p>
            <w:pPr>
              <w:pStyle w:val="17"/>
              <w:spacing w:before="149" w:line="230" w:lineRule="auto"/>
              <w:jc w:val="center"/>
              <w:rPr>
                <w:rFonts w:hint="default" w:ascii="宋体" w:hAnsi="宋体" w:eastAsia="宋体" w:cs="宋体"/>
                <w:spacing w:val="11"/>
                <w:kern w:val="2"/>
                <w:sz w:val="19"/>
                <w:szCs w:val="19"/>
                <w:lang w:val="en-US" w:eastAsia="zh-CN" w:bidi="ar-SA"/>
              </w:rPr>
            </w:pPr>
            <w:r>
              <w:rPr>
                <w:rFonts w:hint="eastAsia" w:cs="宋体"/>
                <w:spacing w:val="11"/>
                <w:kern w:val="2"/>
                <w:sz w:val="19"/>
                <w:szCs w:val="19"/>
                <w:lang w:val="en-US" w:eastAsia="zh-CN" w:bidi="ar-SA"/>
              </w:rPr>
              <w:t>45</w:t>
            </w:r>
          </w:p>
        </w:tc>
        <w:tc>
          <w:tcPr>
            <w:tcW w:w="1837" w:type="dxa"/>
            <w:vMerge w:val="continue"/>
            <w:tcBorders>
              <w:right w:val="single" w:color="000000" w:sz="8" w:space="0"/>
            </w:tcBorders>
            <w:vAlign w:val="center"/>
          </w:tcPr>
          <w:p>
            <w:pPr>
              <w:pStyle w:val="17"/>
              <w:spacing w:before="149" w:line="230" w:lineRule="auto"/>
              <w:jc w:val="center"/>
              <w:rPr>
                <w:rFonts w:hint="eastAsia" w:ascii="宋体" w:hAnsi="宋体" w:eastAsia="宋体" w:cs="宋体"/>
                <w:spacing w:val="11"/>
                <w:kern w:val="2"/>
                <w:sz w:val="19"/>
                <w:szCs w:val="19"/>
                <w:lang w:val="en-US" w:eastAsia="en-US" w:bidi="ar-SA"/>
              </w:rPr>
            </w:pPr>
          </w:p>
        </w:tc>
        <w:tc>
          <w:tcPr>
            <w:tcW w:w="2200" w:type="dxa"/>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4.93</w:t>
            </w:r>
            <w:r>
              <w:rPr>
                <w:rFonts w:hint="eastAsia" w:ascii="宋体" w:hAnsi="宋体" w:eastAsia="宋体" w:cs="宋体"/>
                <w:spacing w:val="11"/>
                <w:kern w:val="2"/>
                <w:sz w:val="19"/>
                <w:szCs w:val="19"/>
                <w:lang w:val="en-US" w:eastAsia="en-US" w:bidi="ar-SA"/>
              </w:rPr>
              <w:t>t/a</w:t>
            </w:r>
          </w:p>
        </w:tc>
      </w:tr>
    </w:tbl>
    <w:p>
      <w:pPr>
        <w:pStyle w:val="17"/>
        <w:spacing w:before="201" w:line="355" w:lineRule="auto"/>
        <w:ind w:left="118" w:right="98" w:firstLine="480" w:firstLineChars="200"/>
        <w:jc w:val="both"/>
        <w:rPr>
          <w:rFonts w:hint="default" w:cs="宋体"/>
          <w:sz w:val="24"/>
          <w:szCs w:val="24"/>
          <w:lang w:val="en-US" w:eastAsia="zh-CN"/>
        </w:rPr>
      </w:pPr>
      <w:r>
        <w:rPr>
          <w:rFonts w:hint="default" w:ascii="Times New Roman" w:hAnsi="Times New Roman" w:eastAsia="宋体" w:cs="Times New Roman"/>
          <w:sz w:val="24"/>
          <w:szCs w:val="24"/>
          <w:highlight w:val="none"/>
        </w:rPr>
        <w:t>（4）</w:t>
      </w:r>
      <w:r>
        <w:rPr>
          <w:rFonts w:hint="eastAsia" w:ascii="Times New Roman" w:hAnsi="Times New Roman" w:eastAsia="宋体" w:cs="Times New Roman"/>
          <w:sz w:val="24"/>
          <w:szCs w:val="24"/>
          <w:highlight w:val="none"/>
          <w:lang w:val="en-US" w:eastAsia="zh-CN"/>
        </w:rPr>
        <w:t>规划</w:t>
      </w:r>
      <w:r>
        <w:rPr>
          <w:rFonts w:hint="default" w:ascii="Times New Roman" w:hAnsi="Times New Roman" w:eastAsia="宋体" w:cs="Times New Roman"/>
          <w:sz w:val="24"/>
          <w:szCs w:val="24"/>
          <w:highlight w:val="none"/>
        </w:rPr>
        <w:t>年污染物入河量</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right="0" w:firstLine="480" w:firstLineChars="200"/>
        <w:jc w:val="left"/>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本项目污水处理站建设完成投入正常运行后尾水在正常排放情况下，废水达到《城镇污水处理厂污染物排放标准》（GB18918-2002）一级 A 标准后排入桐峪河。结果均满足《地表水环境质量标准 》（GB3838-2002）中 III 类标准。污</w:t>
      </w:r>
      <w:r>
        <w:rPr>
          <w:rFonts w:hint="default" w:ascii="Times New Roman" w:hAnsi="Times New Roman" w:eastAsia="宋体" w:cs="Times New Roman"/>
          <w:spacing w:val="0"/>
          <w:sz w:val="24"/>
          <w:szCs w:val="24"/>
          <w:highlight w:val="none"/>
        </w:rPr>
        <w:t>水排放量为</w:t>
      </w:r>
      <w:r>
        <w:rPr>
          <w:rFonts w:hint="eastAsia" w:ascii="Times New Roman" w:hAnsi="Times New Roman" w:eastAsia="宋体" w:cs="Times New Roman"/>
          <w:spacing w:val="0"/>
          <w:sz w:val="24"/>
          <w:szCs w:val="24"/>
          <w:highlight w:val="none"/>
          <w:lang w:val="en-US" w:eastAsia="zh-CN"/>
        </w:rPr>
        <w:t>10.95</w:t>
      </w:r>
      <w:r>
        <w:rPr>
          <w:rFonts w:hint="default" w:ascii="Times New Roman" w:hAnsi="Times New Roman" w:eastAsia="宋体" w:cs="Times New Roman"/>
          <w:spacing w:val="0"/>
          <w:sz w:val="24"/>
          <w:szCs w:val="24"/>
          <w:highlight w:val="none"/>
        </w:rPr>
        <w:t>万吨/年，</w:t>
      </w:r>
      <w:r>
        <w:rPr>
          <w:rFonts w:hint="eastAsia" w:ascii="Times New Roman" w:hAnsi="Times New Roman" w:eastAsia="宋体" w:cs="Times New Roman"/>
          <w:spacing w:val="0"/>
          <w:sz w:val="24"/>
          <w:szCs w:val="24"/>
          <w:highlight w:val="none"/>
          <w:lang w:val="en-US" w:eastAsia="zh-CN"/>
        </w:rPr>
        <w:t>污染物</w:t>
      </w:r>
      <w:r>
        <w:rPr>
          <w:rFonts w:hint="default" w:ascii="Times New Roman" w:hAnsi="Times New Roman" w:eastAsia="宋体" w:cs="Times New Roman"/>
          <w:spacing w:val="0"/>
          <w:sz w:val="24"/>
          <w:szCs w:val="24"/>
          <w:highlight w:val="none"/>
        </w:rPr>
        <w:t>COD排放量</w:t>
      </w:r>
      <w:r>
        <w:rPr>
          <w:rFonts w:hint="eastAsia" w:ascii="Times New Roman" w:hAnsi="Times New Roman" w:eastAsia="宋体" w:cs="Times New Roman"/>
          <w:spacing w:val="0"/>
          <w:sz w:val="24"/>
          <w:szCs w:val="24"/>
          <w:highlight w:val="none"/>
          <w:lang w:val="en-US" w:eastAsia="zh-CN"/>
        </w:rPr>
        <w:t>5.48</w:t>
      </w:r>
      <w:r>
        <w:rPr>
          <w:rFonts w:hint="default" w:ascii="Times New Roman" w:hAnsi="Times New Roman" w:eastAsia="宋体" w:cs="Times New Roman"/>
          <w:spacing w:val="0"/>
          <w:sz w:val="24"/>
          <w:szCs w:val="24"/>
          <w:highlight w:val="none"/>
        </w:rPr>
        <w:t>吨/年，氨氮</w:t>
      </w:r>
      <w:r>
        <w:rPr>
          <w:rFonts w:hint="eastAsia" w:ascii="Times New Roman" w:hAnsi="Times New Roman" w:eastAsia="宋体" w:cs="Times New Roman"/>
          <w:spacing w:val="0"/>
          <w:sz w:val="24"/>
          <w:szCs w:val="24"/>
          <w:highlight w:val="none"/>
          <w:lang w:val="en-US" w:eastAsia="zh-CN"/>
        </w:rPr>
        <w:t>0.55</w:t>
      </w:r>
      <w:r>
        <w:rPr>
          <w:rFonts w:hint="default" w:ascii="Times New Roman" w:hAnsi="Times New Roman" w:eastAsia="宋体" w:cs="Times New Roman"/>
          <w:spacing w:val="0"/>
          <w:sz w:val="24"/>
          <w:szCs w:val="24"/>
          <w:highlight w:val="none"/>
        </w:rPr>
        <w:t>吨/年。具体见表</w:t>
      </w:r>
      <w:r>
        <w:rPr>
          <w:rFonts w:hint="eastAsia" w:ascii="Times New Roman" w:hAnsi="Times New Roman" w:eastAsia="宋体" w:cs="Times New Roman"/>
          <w:spacing w:val="0"/>
          <w:sz w:val="24"/>
          <w:szCs w:val="24"/>
          <w:highlight w:val="none"/>
          <w:lang w:val="en-US" w:eastAsia="zh-CN"/>
        </w:rPr>
        <w:t>4</w:t>
      </w:r>
      <w:r>
        <w:rPr>
          <w:rFonts w:hint="default" w:ascii="Times New Roman" w:hAnsi="Times New Roman" w:eastAsia="宋体" w:cs="Times New Roman"/>
          <w:spacing w:val="0"/>
          <w:sz w:val="24"/>
          <w:szCs w:val="24"/>
          <w:highlight w:val="none"/>
        </w:rPr>
        <w:t>.2-</w:t>
      </w:r>
      <w:r>
        <w:rPr>
          <w:rFonts w:hint="eastAsia" w:ascii="Times New Roman" w:hAnsi="Times New Roman" w:eastAsia="宋体" w:cs="Times New Roman"/>
          <w:spacing w:val="0"/>
          <w:sz w:val="24"/>
          <w:szCs w:val="24"/>
          <w:highlight w:val="none"/>
          <w:lang w:val="en-US" w:eastAsia="zh-CN"/>
        </w:rPr>
        <w:t>2</w:t>
      </w:r>
      <w:r>
        <w:rPr>
          <w:rFonts w:hint="default" w:ascii="Times New Roman" w:hAnsi="Times New Roman" w:eastAsia="宋体" w:cs="Times New Roman"/>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lang w:val="en-US" w:eastAsia="zh-CN"/>
        </w:rPr>
      </w:pPr>
      <w:r>
        <w:rPr>
          <w:rFonts w:hint="default" w:ascii="微软雅黑" w:hAnsi="微软雅黑" w:eastAsia="微软雅黑" w:cs="微软雅黑"/>
          <w:color w:val="818181"/>
          <w:spacing w:val="15"/>
          <w:kern w:val="2"/>
          <w:sz w:val="19"/>
          <w:szCs w:val="19"/>
          <w:lang w:val="en-US" w:eastAsia="en-US" w:bidi="ar-SA"/>
        </w:rPr>
        <w:t>表</w:t>
      </w:r>
      <w:r>
        <w:rPr>
          <w:rFonts w:hint="eastAsia" w:ascii="微软雅黑" w:hAnsi="微软雅黑" w:eastAsia="微软雅黑" w:cs="微软雅黑"/>
          <w:color w:val="818181"/>
          <w:spacing w:val="15"/>
          <w:kern w:val="2"/>
          <w:sz w:val="19"/>
          <w:szCs w:val="19"/>
          <w:lang w:val="en-US" w:eastAsia="zh-CN" w:bidi="ar-SA"/>
        </w:rPr>
        <w:t>4</w:t>
      </w:r>
      <w:r>
        <w:rPr>
          <w:rFonts w:hint="default" w:ascii="微软雅黑" w:hAnsi="微软雅黑" w:eastAsia="微软雅黑" w:cs="微软雅黑"/>
          <w:color w:val="818181"/>
          <w:spacing w:val="15"/>
          <w:kern w:val="2"/>
          <w:sz w:val="19"/>
          <w:szCs w:val="19"/>
          <w:lang w:val="en-US" w:eastAsia="en-US" w:bidi="ar-SA"/>
        </w:rPr>
        <w:t>.</w:t>
      </w:r>
      <w:r>
        <w:rPr>
          <w:rFonts w:hint="eastAsia" w:ascii="微软雅黑" w:hAnsi="微软雅黑" w:eastAsia="微软雅黑" w:cs="微软雅黑"/>
          <w:color w:val="818181"/>
          <w:spacing w:val="15"/>
          <w:kern w:val="2"/>
          <w:sz w:val="19"/>
          <w:szCs w:val="19"/>
          <w:lang w:val="en-US" w:eastAsia="zh-CN" w:bidi="ar-SA"/>
        </w:rPr>
        <w:t>1</w:t>
      </w:r>
      <w:r>
        <w:rPr>
          <w:rFonts w:hint="default" w:ascii="微软雅黑" w:hAnsi="微软雅黑" w:eastAsia="微软雅黑" w:cs="微软雅黑"/>
          <w:color w:val="818181"/>
          <w:spacing w:val="15"/>
          <w:kern w:val="2"/>
          <w:sz w:val="19"/>
          <w:szCs w:val="19"/>
          <w:lang w:val="en-US" w:eastAsia="en-US" w:bidi="ar-SA"/>
        </w:rPr>
        <w:t>-</w:t>
      </w:r>
      <w:r>
        <w:rPr>
          <w:rFonts w:hint="eastAsia" w:ascii="微软雅黑" w:hAnsi="微软雅黑" w:eastAsia="微软雅黑" w:cs="微软雅黑"/>
          <w:color w:val="818181"/>
          <w:spacing w:val="15"/>
          <w:kern w:val="2"/>
          <w:sz w:val="19"/>
          <w:szCs w:val="19"/>
          <w:lang w:val="en-US" w:eastAsia="zh-CN" w:bidi="ar-SA"/>
        </w:rPr>
        <w:t>3规划年污染物排放量</w:t>
      </w:r>
    </w:p>
    <w:tbl>
      <w:tblPr>
        <w:tblStyle w:val="18"/>
        <w:tblW w:w="8105"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
        <w:gridCol w:w="1913"/>
        <w:gridCol w:w="1550"/>
        <w:gridCol w:w="1837"/>
        <w:gridCol w:w="2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05" w:type="dxa"/>
            <w:tcBorders>
              <w:top w:val="single" w:color="000000" w:sz="8" w:space="0"/>
              <w:lef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rPr>
            </w:pPr>
            <w:r>
              <w:rPr>
                <w:rFonts w:hint="eastAsia"/>
                <w:spacing w:val="11"/>
                <w:sz w:val="19"/>
                <w:szCs w:val="19"/>
              </w:rPr>
              <w:t>序号</w:t>
            </w:r>
          </w:p>
        </w:tc>
        <w:tc>
          <w:tcPr>
            <w:tcW w:w="1913" w:type="dxa"/>
            <w:tcBorders>
              <w:top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rPr>
            </w:pPr>
            <w:r>
              <w:rPr>
                <w:rFonts w:hint="eastAsia"/>
                <w:spacing w:val="11"/>
                <w:sz w:val="19"/>
                <w:szCs w:val="19"/>
              </w:rPr>
              <w:t>基本控制项目</w:t>
            </w:r>
          </w:p>
        </w:tc>
        <w:tc>
          <w:tcPr>
            <w:tcW w:w="1550"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val="en-US" w:eastAsia="zh-CN"/>
              </w:rPr>
            </w:pPr>
            <w:r>
              <w:rPr>
                <w:rFonts w:hint="eastAsia"/>
                <w:spacing w:val="11"/>
                <w:sz w:val="19"/>
                <w:szCs w:val="19"/>
                <w:lang w:val="en-US" w:eastAsia="zh-CN"/>
              </w:rPr>
              <w:t>排放浓度</w:t>
            </w:r>
            <w:r>
              <w:rPr>
                <w:color w:val="auto"/>
                <w:spacing w:val="-6"/>
                <w:sz w:val="19"/>
                <w:szCs w:val="19"/>
              </w:rPr>
              <w:t>(mg/L)</w:t>
            </w:r>
          </w:p>
        </w:tc>
        <w:tc>
          <w:tcPr>
            <w:tcW w:w="1837"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val="en-US" w:eastAsia="en-US"/>
              </w:rPr>
            </w:pPr>
            <w:r>
              <w:rPr>
                <w:rFonts w:hint="eastAsia"/>
                <w:spacing w:val="11"/>
                <w:sz w:val="19"/>
                <w:szCs w:val="19"/>
              </w:rPr>
              <w:t>年污水排放量(t)</w:t>
            </w:r>
          </w:p>
        </w:tc>
        <w:tc>
          <w:tcPr>
            <w:tcW w:w="2200" w:type="dxa"/>
            <w:tcBorders>
              <w:top w:val="single" w:color="000000" w:sz="8" w:space="0"/>
              <w:right w:val="single" w:color="000000" w:sz="8" w:space="0"/>
            </w:tcBorders>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val="en-US" w:eastAsia="en-US"/>
              </w:rPr>
            </w:pPr>
            <w:r>
              <w:rPr>
                <w:rFonts w:hint="eastAsia"/>
                <w:spacing w:val="11"/>
                <w:sz w:val="19"/>
                <w:szCs w:val="19"/>
              </w:rPr>
              <w:t>年污染物排放总量(t)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49" w:hRule="atLeast"/>
        </w:trPr>
        <w:tc>
          <w:tcPr>
            <w:tcW w:w="605" w:type="dxa"/>
            <w:tcBorders>
              <w:left w:val="single" w:color="000000" w:sz="8" w:space="0"/>
            </w:tcBorders>
            <w:vAlign w:val="center"/>
          </w:tcPr>
          <w:p>
            <w:pPr>
              <w:spacing w:before="147" w:line="195"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1</w:t>
            </w:r>
          </w:p>
        </w:tc>
        <w:tc>
          <w:tcPr>
            <w:tcW w:w="1913" w:type="dxa"/>
            <w:vAlign w:val="center"/>
          </w:tcPr>
          <w:p>
            <w:pPr>
              <w:pStyle w:val="17"/>
              <w:spacing w:before="116" w:line="227" w:lineRule="auto"/>
              <w:ind w:left="105"/>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化学需氧量（COD）</w:t>
            </w:r>
          </w:p>
        </w:tc>
        <w:tc>
          <w:tcPr>
            <w:tcW w:w="1550" w:type="dxa"/>
            <w:tcBorders>
              <w:right w:val="single" w:color="000000" w:sz="8" w:space="0"/>
            </w:tcBorders>
            <w:vAlign w:val="center"/>
          </w:tcPr>
          <w:p>
            <w:pPr>
              <w:spacing w:before="147" w:line="195"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50</w:t>
            </w:r>
          </w:p>
        </w:tc>
        <w:tc>
          <w:tcPr>
            <w:tcW w:w="1837" w:type="dxa"/>
            <w:vMerge w:val="restart"/>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en-US" w:bidi="ar-SA"/>
              </w:rPr>
              <w:t>10.95 万</w:t>
            </w:r>
          </w:p>
        </w:tc>
        <w:tc>
          <w:tcPr>
            <w:tcW w:w="2200" w:type="dxa"/>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en-US" w:bidi="ar-SA"/>
              </w:rPr>
              <w:t>5.48t/a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49" w:hRule="atLeast"/>
        </w:trPr>
        <w:tc>
          <w:tcPr>
            <w:tcW w:w="605" w:type="dxa"/>
            <w:tcBorders>
              <w:left w:val="single" w:color="000000" w:sz="8" w:space="0"/>
            </w:tcBorders>
            <w:vAlign w:val="center"/>
          </w:tcPr>
          <w:p>
            <w:pPr>
              <w:spacing w:before="174" w:line="192" w:lineRule="auto"/>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3</w:t>
            </w:r>
          </w:p>
        </w:tc>
        <w:tc>
          <w:tcPr>
            <w:tcW w:w="1913" w:type="dxa"/>
            <w:vAlign w:val="center"/>
          </w:tcPr>
          <w:p>
            <w:pPr>
              <w:pStyle w:val="17"/>
              <w:spacing w:before="139" w:line="227" w:lineRule="auto"/>
              <w:ind w:left="294"/>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氨氮（以N计）</w:t>
            </w:r>
          </w:p>
        </w:tc>
        <w:tc>
          <w:tcPr>
            <w:tcW w:w="1550" w:type="dxa"/>
            <w:tcBorders>
              <w:right w:val="single" w:color="000000" w:sz="8" w:space="0"/>
            </w:tcBorders>
            <w:vAlign w:val="center"/>
          </w:tcPr>
          <w:p>
            <w:pPr>
              <w:pStyle w:val="17"/>
              <w:spacing w:before="149" w:line="230" w:lineRule="auto"/>
              <w:jc w:val="center"/>
              <w:rPr>
                <w:rFonts w:hint="eastAsia" w:ascii="宋体" w:hAnsi="宋体" w:eastAsia="宋体" w:cs="宋体"/>
                <w:spacing w:val="11"/>
                <w:kern w:val="2"/>
                <w:sz w:val="19"/>
                <w:szCs w:val="19"/>
                <w:lang w:val="en-US" w:eastAsia="en-US" w:bidi="ar-SA"/>
              </w:rPr>
            </w:pPr>
            <w:r>
              <w:rPr>
                <w:rFonts w:hint="eastAsia" w:ascii="宋体" w:hAnsi="宋体" w:eastAsia="宋体" w:cs="宋体"/>
                <w:spacing w:val="11"/>
                <w:kern w:val="2"/>
                <w:sz w:val="19"/>
                <w:szCs w:val="19"/>
                <w:lang w:val="en-US" w:eastAsia="en-US" w:bidi="ar-SA"/>
              </w:rPr>
              <w:t>5</w:t>
            </w:r>
          </w:p>
        </w:tc>
        <w:tc>
          <w:tcPr>
            <w:tcW w:w="1837" w:type="dxa"/>
            <w:vMerge w:val="continue"/>
            <w:tcBorders>
              <w:right w:val="single" w:color="000000" w:sz="8" w:space="0"/>
            </w:tcBorders>
            <w:vAlign w:val="center"/>
          </w:tcPr>
          <w:p>
            <w:pPr>
              <w:pStyle w:val="17"/>
              <w:spacing w:before="149" w:line="230" w:lineRule="auto"/>
              <w:jc w:val="center"/>
              <w:rPr>
                <w:rFonts w:hint="eastAsia" w:ascii="宋体" w:hAnsi="宋体" w:eastAsia="宋体" w:cs="宋体"/>
                <w:spacing w:val="11"/>
                <w:kern w:val="2"/>
                <w:sz w:val="19"/>
                <w:szCs w:val="19"/>
                <w:lang w:val="en-US" w:eastAsia="en-US" w:bidi="ar-SA"/>
              </w:rPr>
            </w:pPr>
          </w:p>
        </w:tc>
        <w:tc>
          <w:tcPr>
            <w:tcW w:w="2200" w:type="dxa"/>
            <w:tcBorders>
              <w:right w:val="single" w:color="000000" w:sz="8" w:space="0"/>
            </w:tcBorders>
            <w:vAlign w:val="center"/>
          </w:tcPr>
          <w:p>
            <w:pPr>
              <w:jc w:val="center"/>
              <w:rPr>
                <w:rFonts w:hint="eastAsia" w:ascii="宋体" w:hAnsi="宋体" w:eastAsia="宋体" w:cs="宋体"/>
                <w:spacing w:val="11"/>
                <w:kern w:val="2"/>
                <w:sz w:val="19"/>
                <w:szCs w:val="19"/>
                <w:lang w:val="en-US" w:eastAsia="zh-CN" w:bidi="ar-SA"/>
              </w:rPr>
            </w:pPr>
            <w:r>
              <w:rPr>
                <w:rFonts w:hint="eastAsia" w:ascii="宋体" w:hAnsi="宋体" w:eastAsia="宋体" w:cs="宋体"/>
                <w:spacing w:val="11"/>
                <w:kern w:val="2"/>
                <w:sz w:val="19"/>
                <w:szCs w:val="19"/>
                <w:lang w:val="en-US" w:eastAsia="zh-CN" w:bidi="ar-SA"/>
              </w:rPr>
              <w:t>0.55</w:t>
            </w:r>
            <w:r>
              <w:rPr>
                <w:rFonts w:hint="eastAsia" w:ascii="宋体" w:hAnsi="宋体" w:eastAsia="宋体" w:cs="宋体"/>
                <w:spacing w:val="11"/>
                <w:kern w:val="2"/>
                <w:sz w:val="19"/>
                <w:szCs w:val="19"/>
                <w:lang w:val="en-US" w:eastAsia="en-US" w:bidi="ar-SA"/>
              </w:rPr>
              <w:t>t/a</w:t>
            </w:r>
          </w:p>
        </w:tc>
      </w:tr>
    </w:tbl>
    <w:p>
      <w:pPr>
        <w:pStyle w:val="7"/>
        <w:keepNext w:val="0"/>
        <w:keepLines w:val="0"/>
        <w:pageBreakBefore w:val="0"/>
        <w:widowControl w:val="0"/>
        <w:kinsoku/>
        <w:wordWrap/>
        <w:overflowPunct/>
        <w:topLinePunct w:val="0"/>
        <w:autoSpaceDE/>
        <w:autoSpaceDN/>
        <w:bidi w:val="0"/>
        <w:adjustRightInd/>
        <w:snapToGrid/>
        <w:spacing w:line="520" w:lineRule="exact"/>
        <w:ind w:left="0" w:right="0" w:rightChars="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（5）水域纳污能力计算成果</w:t>
      </w:r>
    </w:p>
    <w:p>
      <w:pPr>
        <w:pStyle w:val="7"/>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36"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4"/>
          <w:sz w:val="24"/>
          <w:szCs w:val="24"/>
          <w:highlight w:val="none"/>
        </w:rPr>
        <w:t>本项</w:t>
      </w:r>
      <w:r>
        <w:rPr>
          <w:rFonts w:hint="default" w:ascii="Times New Roman" w:hAnsi="Times New Roman" w:eastAsia="宋体" w:cs="Times New Roman"/>
          <w:spacing w:val="21"/>
          <w:sz w:val="24"/>
          <w:szCs w:val="24"/>
          <w:highlight w:val="none"/>
        </w:rPr>
        <w:t>目纳污河流为</w:t>
      </w:r>
      <w:r>
        <w:rPr>
          <w:rFonts w:hint="eastAsia" w:ascii="Times New Roman" w:hAnsi="Times New Roman" w:eastAsia="宋体" w:cs="Times New Roman"/>
          <w:spacing w:val="21"/>
          <w:sz w:val="24"/>
          <w:szCs w:val="24"/>
          <w:highlight w:val="none"/>
          <w:lang w:val="en-US" w:eastAsia="zh-CN"/>
        </w:rPr>
        <w:t>桐峪河</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pacing w:val="18"/>
          <w:sz w:val="24"/>
          <w:szCs w:val="24"/>
          <w:highlight w:val="none"/>
          <w:lang w:val="en-US" w:eastAsia="zh-CN"/>
        </w:rPr>
        <w:t>桐峪河属</w:t>
      </w:r>
      <w:r>
        <w:rPr>
          <w:rFonts w:hint="eastAsia" w:ascii="Times New Roman" w:hAnsi="Times New Roman" w:eastAsia="宋体" w:cs="Times New Roman"/>
          <w:kern w:val="2"/>
          <w:sz w:val="24"/>
          <w:szCs w:val="24"/>
          <w:highlight w:val="none"/>
          <w:lang w:val="en-US" w:eastAsia="zh-CN" w:bidi="ar-SA"/>
        </w:rPr>
        <w:t>三河口</w:t>
      </w:r>
      <w:r>
        <w:rPr>
          <w:rFonts w:hint="default" w:ascii="Times New Roman" w:hAnsi="Times New Roman" w:eastAsia="宋体" w:cs="Times New Roman"/>
          <w:kern w:val="2"/>
          <w:sz w:val="24"/>
          <w:szCs w:val="24"/>
          <w:highlight w:val="none"/>
          <w:lang w:val="en-US" w:eastAsia="zh-CN" w:bidi="ar-SA"/>
        </w:rPr>
        <w:t>断面</w:t>
      </w:r>
      <w:r>
        <w:rPr>
          <w:rFonts w:hint="eastAsia"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spacing w:val="18"/>
          <w:sz w:val="24"/>
          <w:szCs w:val="24"/>
          <w:highlight w:val="none"/>
          <w:lang w:val="en-US" w:eastAsia="zh-CN"/>
        </w:rPr>
        <w:t>双桥河</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spacing w:val="18"/>
          <w:sz w:val="24"/>
          <w:szCs w:val="24"/>
          <w:highlight w:val="none"/>
        </w:rPr>
        <w:t>根据《</w:t>
      </w:r>
      <w:r>
        <w:rPr>
          <w:rFonts w:hint="default" w:ascii="Times New Roman" w:hAnsi="Times New Roman" w:eastAsia="宋体" w:cs="Times New Roman"/>
          <w:sz w:val="24"/>
          <w:szCs w:val="24"/>
          <w:highlight w:val="none"/>
        </w:rPr>
        <w:t>水</w:t>
      </w:r>
      <w:r>
        <w:rPr>
          <w:rFonts w:hint="default" w:ascii="Times New Roman" w:hAnsi="Times New Roman" w:eastAsia="宋体" w:cs="Times New Roman"/>
          <w:spacing w:val="21"/>
          <w:sz w:val="24"/>
          <w:szCs w:val="24"/>
          <w:highlight w:val="none"/>
        </w:rPr>
        <w:t>域纳污能力计算规</w:t>
      </w:r>
      <w:r>
        <w:rPr>
          <w:rFonts w:hint="default" w:ascii="Times New Roman" w:hAnsi="Times New Roman" w:eastAsia="宋体" w:cs="Times New Roman"/>
          <w:spacing w:val="14"/>
          <w:sz w:val="24"/>
          <w:szCs w:val="24"/>
          <w:highlight w:val="none"/>
        </w:rPr>
        <w:t>程》</w:t>
      </w:r>
    </w:p>
    <w:p>
      <w:pPr>
        <w:pStyle w:val="7"/>
        <w:keepNext w:val="0"/>
        <w:keepLines w:val="0"/>
        <w:pageBreakBefore w:val="0"/>
        <w:widowControl w:val="0"/>
        <w:kinsoku/>
        <w:wordWrap/>
        <w:overflowPunct/>
        <w:topLinePunct w:val="0"/>
        <w:autoSpaceDE/>
        <w:autoSpaceDN/>
        <w:bidi w:val="0"/>
        <w:adjustRightInd/>
        <w:snapToGrid/>
        <w:spacing w:line="520" w:lineRule="exact"/>
        <w:ind w:left="0" w:right="0" w:rightChars="0"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（GB/T25173-2010）水域纳污能力计算公式如下：</w:t>
      </w:r>
    </w:p>
    <w:p>
      <w:pPr>
        <w:spacing w:before="2" w:line="240" w:lineRule="auto"/>
        <w:rPr>
          <w:rFonts w:hint="default" w:ascii="Times New Roman" w:hAnsi="Times New Roman" w:eastAsia="宋体" w:cs="Times New Roman"/>
          <w:sz w:val="24"/>
          <w:szCs w:val="24"/>
          <w:highlight w:val="none"/>
        </w:rPr>
      </w:pPr>
    </w:p>
    <w:p>
      <w:pPr>
        <w:pStyle w:val="7"/>
        <w:spacing w:before="0" w:line="240" w:lineRule="auto"/>
        <w:ind w:left="5" w:right="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position w:val="2"/>
          <w:sz w:val="24"/>
          <w:szCs w:val="24"/>
          <w:highlight w:val="none"/>
        </w:rPr>
        <w:t>M=(C</w:t>
      </w:r>
      <w:r>
        <w:rPr>
          <w:rFonts w:hint="default" w:ascii="Times New Roman" w:hAnsi="Times New Roman" w:eastAsia="宋体" w:cs="Times New Roman"/>
          <w:sz w:val="24"/>
          <w:szCs w:val="24"/>
          <w:highlight w:val="none"/>
        </w:rPr>
        <w:t>S</w:t>
      </w:r>
      <w:r>
        <w:rPr>
          <w:rFonts w:hint="default" w:ascii="Times New Roman" w:hAnsi="Times New Roman" w:eastAsia="宋体" w:cs="Times New Roman"/>
          <w:position w:val="2"/>
          <w:sz w:val="24"/>
          <w:szCs w:val="24"/>
          <w:highlight w:val="none"/>
        </w:rPr>
        <w:t>-Cx)*(Q+Q</w:t>
      </w:r>
      <w:r>
        <w:rPr>
          <w:rFonts w:hint="default" w:ascii="Times New Roman" w:hAnsi="Times New Roman" w:eastAsia="宋体" w:cs="Times New Roman"/>
          <w:sz w:val="24"/>
          <w:szCs w:val="24"/>
          <w:highlight w:val="none"/>
        </w:rPr>
        <w:t>P</w:t>
      </w:r>
      <w:r>
        <w:rPr>
          <w:rFonts w:hint="default" w:ascii="Times New Roman" w:hAnsi="Times New Roman" w:eastAsia="宋体" w:cs="Times New Roman"/>
          <w:position w:val="2"/>
          <w:sz w:val="24"/>
          <w:szCs w:val="24"/>
          <w:highlight w:val="none"/>
        </w:rPr>
        <w:t>)</w:t>
      </w:r>
    </w:p>
    <w:p>
      <w:pPr>
        <w:pStyle w:val="7"/>
        <w:spacing w:before="174" w:line="240" w:lineRule="auto"/>
        <w:ind w:left="595" w:right="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式中：M——水域纳污能力，g/s；</w:t>
      </w:r>
    </w:p>
    <w:p>
      <w:pPr>
        <w:pStyle w:val="7"/>
        <w:spacing w:before="168" w:line="240" w:lineRule="auto"/>
        <w:ind w:left="1316" w:right="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position w:val="2"/>
          <w:sz w:val="24"/>
          <w:szCs w:val="24"/>
          <w:highlight w:val="none"/>
        </w:rPr>
        <w:t>C</w:t>
      </w:r>
      <w:r>
        <w:rPr>
          <w:rFonts w:hint="default" w:ascii="Times New Roman" w:hAnsi="Times New Roman" w:eastAsia="宋体" w:cs="Times New Roman"/>
          <w:sz w:val="24"/>
          <w:szCs w:val="24"/>
          <w:highlight w:val="none"/>
        </w:rPr>
        <w:t>s</w:t>
      </w:r>
      <w:r>
        <w:rPr>
          <w:rFonts w:hint="default" w:ascii="Times New Roman" w:hAnsi="Times New Roman" w:eastAsia="宋体" w:cs="Times New Roman"/>
          <w:position w:val="2"/>
          <w:sz w:val="24"/>
          <w:szCs w:val="24"/>
          <w:highlight w:val="none"/>
        </w:rPr>
        <w:t>——水质目标浓度值，mg/L；</w:t>
      </w:r>
    </w:p>
    <w:p>
      <w:pPr>
        <w:pStyle w:val="7"/>
        <w:spacing w:before="171" w:line="364" w:lineRule="auto"/>
        <w:ind w:left="1316" w:right="976"/>
        <w:jc w:val="left"/>
        <w:rPr>
          <w:rFonts w:hint="default" w:ascii="Times New Roman" w:hAnsi="Times New Roman" w:eastAsia="宋体" w:cs="Times New Roman"/>
          <w:position w:val="2"/>
          <w:sz w:val="24"/>
          <w:szCs w:val="24"/>
          <w:highlight w:val="none"/>
        </w:rPr>
      </w:pPr>
      <w:r>
        <w:rPr>
          <w:rFonts w:hint="default" w:ascii="Times New Roman" w:hAnsi="Times New Roman" w:eastAsia="宋体" w:cs="Times New Roman"/>
          <w:position w:val="2"/>
          <w:sz w:val="24"/>
          <w:szCs w:val="24"/>
          <w:highlight w:val="none"/>
        </w:rPr>
        <w:t>C</w:t>
      </w:r>
      <w:r>
        <w:rPr>
          <w:rFonts w:hint="default" w:ascii="Times New Roman" w:hAnsi="Times New Roman" w:eastAsia="宋体" w:cs="Times New Roman"/>
          <w:sz w:val="24"/>
          <w:szCs w:val="24"/>
          <w:highlight w:val="none"/>
        </w:rPr>
        <w:t>x</w:t>
      </w:r>
      <w:r>
        <w:rPr>
          <w:rFonts w:hint="default" w:ascii="Times New Roman" w:hAnsi="Times New Roman" w:eastAsia="宋体" w:cs="Times New Roman"/>
          <w:position w:val="2"/>
          <w:sz w:val="24"/>
          <w:szCs w:val="24"/>
          <w:highlight w:val="none"/>
        </w:rPr>
        <w:t>——流经x距离后的污染物浓度，mg/L；</w:t>
      </w:r>
    </w:p>
    <w:p>
      <w:pPr>
        <w:pStyle w:val="7"/>
        <w:spacing w:before="171" w:line="364" w:lineRule="auto"/>
        <w:ind w:left="1316" w:right="976"/>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Q——断面的入流流量，m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rPr>
        <w:t>/s；</w:t>
      </w:r>
    </w:p>
    <w:p>
      <w:pPr>
        <w:pStyle w:val="7"/>
        <w:spacing w:before="171" w:line="364" w:lineRule="auto"/>
        <w:ind w:left="1316" w:right="976"/>
        <w:jc w:val="left"/>
        <w:rPr>
          <w:rFonts w:hint="default" w:ascii="Times New Roman" w:hAnsi="Times New Roman" w:eastAsia="宋体" w:cs="Times New Roman"/>
          <w:spacing w:val="-1"/>
          <w:position w:val="2"/>
          <w:sz w:val="24"/>
          <w:szCs w:val="24"/>
          <w:highlight w:val="none"/>
        </w:rPr>
      </w:pPr>
      <w:r>
        <w:rPr>
          <w:rFonts w:hint="default" w:ascii="Times New Roman" w:hAnsi="Times New Roman" w:eastAsia="宋体" w:cs="Times New Roman"/>
          <w:position w:val="2"/>
          <w:sz w:val="24"/>
          <w:szCs w:val="24"/>
          <w:highlight w:val="none"/>
        </w:rPr>
        <w:t>Q</w:t>
      </w:r>
      <w:r>
        <w:rPr>
          <w:rFonts w:hint="default" w:ascii="Times New Roman" w:hAnsi="Times New Roman" w:eastAsia="宋体" w:cs="Times New Roman"/>
          <w:sz w:val="24"/>
          <w:szCs w:val="24"/>
          <w:highlight w:val="none"/>
        </w:rPr>
        <w:t>P</w:t>
      </w:r>
      <w:r>
        <w:rPr>
          <w:rFonts w:hint="default" w:ascii="Times New Roman" w:hAnsi="Times New Roman" w:eastAsia="宋体" w:cs="Times New Roman"/>
          <w:position w:val="2"/>
          <w:sz w:val="24"/>
          <w:szCs w:val="24"/>
          <w:highlight w:val="none"/>
        </w:rPr>
        <w:t>——废污水排放流量，m</w:t>
      </w:r>
      <w:r>
        <w:rPr>
          <w:rFonts w:hint="default" w:ascii="Times New Roman" w:hAnsi="Times New Roman" w:eastAsia="宋体" w:cs="Times New Roman"/>
          <w:position w:val="2"/>
          <w:sz w:val="24"/>
          <w:szCs w:val="24"/>
          <w:highlight w:val="none"/>
          <w:vertAlign w:val="superscript"/>
          <w:lang w:val="en-US" w:eastAsia="zh-CN"/>
        </w:rPr>
        <w:t>3</w:t>
      </w:r>
      <w:r>
        <w:rPr>
          <w:rFonts w:hint="default" w:ascii="Times New Roman" w:hAnsi="Times New Roman" w:eastAsia="宋体" w:cs="Times New Roman"/>
          <w:position w:val="2"/>
          <w:sz w:val="24"/>
          <w:szCs w:val="24"/>
          <w:highlight w:val="none"/>
        </w:rPr>
        <w:t>/s；</w:t>
      </w:r>
    </w:p>
    <w:p>
      <w:pPr>
        <w:pStyle w:val="7"/>
        <w:keepNext w:val="0"/>
        <w:keepLines w:val="0"/>
        <w:pageBreakBefore w:val="0"/>
        <w:widowControl w:val="0"/>
        <w:kinsoku/>
        <w:wordWrap/>
        <w:overflowPunct/>
        <w:topLinePunct w:val="0"/>
        <w:autoSpaceDE/>
        <w:autoSpaceDN/>
        <w:bidi w:val="0"/>
        <w:adjustRightInd/>
        <w:snapToGrid/>
        <w:spacing w:after="0" w:line="520" w:lineRule="exact"/>
        <w:ind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根据入河排污口管理技术导则（SL532-2011）中第5.3.6小计第二条</w:t>
      </w:r>
      <w:r>
        <w:rPr>
          <w:rFonts w:hint="eastAsia"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z w:val="24"/>
          <w:szCs w:val="24"/>
          <w:highlight w:val="none"/>
        </w:rPr>
        <w:t>水域纳污能力</w:t>
      </w:r>
      <w:r>
        <w:rPr>
          <w:rFonts w:hint="default" w:ascii="Times New Roman" w:hAnsi="Times New Roman" w:eastAsia="宋体" w:cs="Times New Roman"/>
          <w:spacing w:val="-2"/>
          <w:sz w:val="24"/>
          <w:szCs w:val="24"/>
          <w:highlight w:val="none"/>
        </w:rPr>
        <w:t>应采纳各级水行政主管部门或流域管理机构核定的数据，未核定纳污能力的水域，应按</w:t>
      </w:r>
      <w:r>
        <w:rPr>
          <w:rFonts w:hint="default" w:ascii="Times New Roman" w:hAnsi="Times New Roman" w:eastAsia="宋体" w:cs="Times New Roman"/>
          <w:sz w:val="24"/>
          <w:szCs w:val="24"/>
          <w:highlight w:val="none"/>
        </w:rPr>
        <w:t>SL348</w:t>
      </w:r>
      <w:r>
        <w:rPr>
          <w:rFonts w:hint="default" w:ascii="Times New Roman" w:hAnsi="Times New Roman" w:eastAsia="宋体" w:cs="Times New Roman"/>
          <w:spacing w:val="2"/>
          <w:sz w:val="24"/>
          <w:szCs w:val="24"/>
          <w:highlight w:val="none"/>
        </w:rPr>
        <w:t>的规定和水功能区管理要求核算纳污能力</w:t>
      </w:r>
      <w:r>
        <w:rPr>
          <w:rFonts w:hint="eastAsia"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rPr>
        <w:t>的要求。本项目涉及</w:t>
      </w:r>
      <w:r>
        <w:rPr>
          <w:rFonts w:hint="eastAsia" w:ascii="Times New Roman" w:hAnsi="Times New Roman" w:eastAsia="宋体" w:cs="Times New Roman"/>
          <w:spacing w:val="2"/>
          <w:sz w:val="24"/>
          <w:szCs w:val="24"/>
          <w:highlight w:val="none"/>
          <w:lang w:val="en-US" w:eastAsia="zh-CN"/>
        </w:rPr>
        <w:t>桐峪河属于季节河流，</w:t>
      </w:r>
      <w:r>
        <w:rPr>
          <w:rFonts w:hint="eastAsia" w:ascii="Times New Roman" w:hAnsi="Times New Roman" w:eastAsia="宋体" w:cs="Times New Roman"/>
          <w:sz w:val="24"/>
          <w:szCs w:val="24"/>
          <w:highlight w:val="none"/>
          <w:lang w:val="en-US" w:eastAsia="zh-CN"/>
        </w:rPr>
        <w:t>在</w:t>
      </w:r>
      <w:r>
        <w:rPr>
          <w:rFonts w:hint="default" w:ascii="Times New Roman" w:hAnsi="Times New Roman" w:eastAsia="宋体" w:cs="Times New Roman"/>
          <w:sz w:val="24"/>
          <w:szCs w:val="24"/>
          <w:highlight w:val="none"/>
        </w:rPr>
        <w:t>无降雨时段断流。</w:t>
      </w:r>
      <w:r>
        <w:rPr>
          <w:rFonts w:hint="default" w:ascii="Times New Roman" w:hAnsi="Times New Roman" w:eastAsia="宋体" w:cs="Times New Roman"/>
          <w:spacing w:val="-3"/>
          <w:sz w:val="24"/>
          <w:szCs w:val="24"/>
          <w:highlight w:val="none"/>
        </w:rPr>
        <w:t>因</w:t>
      </w:r>
      <w:r>
        <w:rPr>
          <w:rFonts w:hint="default" w:ascii="Times New Roman" w:hAnsi="Times New Roman" w:eastAsia="宋体" w:cs="Times New Roman"/>
          <w:sz w:val="24"/>
          <w:szCs w:val="24"/>
          <w:highlight w:val="none"/>
        </w:rPr>
        <w:t>此本次使用</w:t>
      </w:r>
      <w:r>
        <w:rPr>
          <w:rFonts w:hint="eastAsia" w:ascii="Times New Roman" w:hAnsi="Times New Roman" w:eastAsia="宋体" w:cs="Times New Roman"/>
          <w:kern w:val="2"/>
          <w:sz w:val="24"/>
          <w:szCs w:val="24"/>
          <w:highlight w:val="none"/>
          <w:lang w:val="en-US" w:eastAsia="zh-CN" w:bidi="ar-SA"/>
        </w:rPr>
        <w:t>三河口</w:t>
      </w:r>
      <w:r>
        <w:rPr>
          <w:rFonts w:hint="default" w:ascii="Times New Roman" w:hAnsi="Times New Roman" w:eastAsia="宋体" w:cs="Times New Roman"/>
          <w:kern w:val="2"/>
          <w:sz w:val="24"/>
          <w:szCs w:val="24"/>
          <w:highlight w:val="none"/>
          <w:lang w:val="en-US" w:eastAsia="zh-CN" w:bidi="ar-SA"/>
        </w:rPr>
        <w:t>断面</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spacing w:val="-2"/>
          <w:sz w:val="24"/>
          <w:szCs w:val="24"/>
          <w:highlight w:val="none"/>
        </w:rPr>
        <w:t>双桥河</w:t>
      </w:r>
      <w:r>
        <w:rPr>
          <w:rFonts w:hint="default" w:ascii="Times New Roman" w:hAnsi="Times New Roman" w:eastAsia="宋体" w:cs="Times New Roman"/>
          <w:sz w:val="24"/>
          <w:szCs w:val="24"/>
          <w:highlight w:val="none"/>
        </w:rPr>
        <w:t>纳污能力和限排量核定的数据。</w:t>
      </w:r>
    </w:p>
    <w:p>
      <w:pPr>
        <w:pStyle w:val="7"/>
        <w:keepNext w:val="0"/>
        <w:keepLines w:val="0"/>
        <w:pageBreakBefore w:val="0"/>
        <w:widowControl w:val="0"/>
        <w:kinsoku/>
        <w:wordWrap/>
        <w:overflowPunct/>
        <w:topLinePunct w:val="0"/>
        <w:autoSpaceDE/>
        <w:autoSpaceDN/>
        <w:bidi w:val="0"/>
        <w:adjustRightInd/>
        <w:snapToGrid/>
        <w:spacing w:after="0" w:line="520" w:lineRule="exact"/>
        <w:ind w:right="0" w:firstLine="472" w:firstLineChars="200"/>
        <w:jc w:val="both"/>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pacing w:val="-2"/>
          <w:sz w:val="24"/>
          <w:szCs w:val="24"/>
          <w:highlight w:val="none"/>
        </w:rPr>
        <w:t>根据《陕西省水资源保护规划》</w:t>
      </w:r>
      <w:r>
        <w:rPr>
          <w:rFonts w:hint="eastAsia"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rPr>
        <w:t>《陕西省国家重要江河水功能区纳污能力核定和</w:t>
      </w:r>
      <w:r>
        <w:rPr>
          <w:rFonts w:hint="default" w:ascii="Times New Roman" w:hAnsi="Times New Roman" w:eastAsia="宋体" w:cs="Times New Roman"/>
          <w:spacing w:val="3"/>
          <w:sz w:val="24"/>
          <w:szCs w:val="24"/>
          <w:highlight w:val="none"/>
        </w:rPr>
        <w:t>分阶段限排总量控制方案报告》</w:t>
      </w:r>
      <w:r>
        <w:rPr>
          <w:rFonts w:hint="eastAsia" w:ascii="Times New Roman" w:hAnsi="Times New Roman" w:eastAsia="宋体" w:cs="Times New Roman"/>
          <w:spacing w:val="3"/>
          <w:sz w:val="24"/>
          <w:szCs w:val="24"/>
          <w:highlight w:val="none"/>
          <w:lang w:val="en-US" w:eastAsia="zh-CN"/>
        </w:rPr>
        <w:t>及</w:t>
      </w:r>
      <w:r>
        <w:rPr>
          <w:spacing w:val="-1"/>
        </w:rPr>
        <w:t>《地表水环境质量标准》</w:t>
      </w:r>
      <w:r>
        <w:rPr>
          <w:rFonts w:hint="eastAsia" w:ascii="Times New Roman" w:hAnsi="Times New Roman" w:eastAsia="宋体" w:cs="Times New Roman"/>
          <w:spacing w:val="3"/>
          <w:sz w:val="24"/>
          <w:szCs w:val="24"/>
          <w:highlight w:val="none"/>
          <w:lang w:val="en-US" w:eastAsia="zh-CN"/>
        </w:rPr>
        <w:t>（GB3838-2002）III 类标准COD限值20mg/L，氨氮限值1mg/L。参考</w:t>
      </w:r>
      <w:r>
        <w:rPr>
          <w:rFonts w:hint="default" w:ascii="Times New Roman" w:hAnsi="Times New Roman" w:eastAsia="宋体" w:cs="Times New Roman"/>
          <w:spacing w:val="3"/>
          <w:sz w:val="24"/>
          <w:szCs w:val="24"/>
          <w:highlight w:val="none"/>
        </w:rPr>
        <w:t>以上报告</w:t>
      </w:r>
      <w:r>
        <w:rPr>
          <w:rFonts w:hint="eastAsia" w:ascii="Times New Roman" w:hAnsi="Times New Roman" w:eastAsia="宋体" w:cs="Times New Roman"/>
          <w:spacing w:val="3"/>
          <w:sz w:val="24"/>
          <w:szCs w:val="24"/>
          <w:highlight w:val="none"/>
          <w:lang w:eastAsia="zh-CN"/>
        </w:rPr>
        <w:t>、</w:t>
      </w:r>
      <w:r>
        <w:rPr>
          <w:rFonts w:hint="default" w:ascii="Times New Roman" w:hAnsi="Times New Roman" w:eastAsia="宋体" w:cs="Times New Roman"/>
          <w:spacing w:val="-2"/>
          <w:sz w:val="24"/>
          <w:szCs w:val="24"/>
          <w:highlight w:val="none"/>
        </w:rPr>
        <w:t>渭南市生态环境局</w:t>
      </w:r>
      <w:r>
        <w:rPr>
          <w:rFonts w:hint="eastAsia" w:ascii="Times New Roman" w:hAnsi="Times New Roman" w:eastAsia="宋体" w:cs="Times New Roman"/>
          <w:spacing w:val="-2"/>
          <w:sz w:val="24"/>
          <w:szCs w:val="24"/>
          <w:highlight w:val="none"/>
          <w:lang w:val="en-US" w:eastAsia="zh-CN"/>
        </w:rPr>
        <w:t>公示</w:t>
      </w:r>
      <w:r>
        <w:rPr>
          <w:rFonts w:hint="eastAsia" w:ascii="Times New Roman" w:hAnsi="Times New Roman" w:eastAsia="宋体" w:cs="Times New Roman"/>
          <w:sz w:val="24"/>
          <w:szCs w:val="24"/>
          <w:highlight w:val="none"/>
          <w:lang w:val="en-US" w:eastAsia="zh-CN"/>
        </w:rPr>
        <w:t>2022</w:t>
      </w:r>
      <w:r>
        <w:rPr>
          <w:rFonts w:hint="default" w:ascii="Times New Roman" w:hAnsi="Times New Roman" w:eastAsia="宋体" w:cs="Times New Roman"/>
          <w:spacing w:val="-2"/>
          <w:sz w:val="24"/>
          <w:szCs w:val="24"/>
          <w:highlight w:val="none"/>
        </w:rPr>
        <w:t>年</w:t>
      </w:r>
      <w:r>
        <w:rPr>
          <w:rFonts w:hint="eastAsia" w:ascii="Times New Roman" w:hAnsi="Times New Roman" w:eastAsia="宋体" w:cs="Times New Roman"/>
          <w:spacing w:val="-2"/>
          <w:sz w:val="24"/>
          <w:szCs w:val="24"/>
          <w:highlight w:val="none"/>
          <w:lang w:val="en-US" w:eastAsia="zh-CN"/>
        </w:rPr>
        <w:t>及2023年三河口桥断面的监测数据</w:t>
      </w:r>
      <w:r>
        <w:rPr>
          <w:rFonts w:hint="default" w:ascii="Times New Roman" w:hAnsi="Times New Roman" w:eastAsia="宋体" w:cs="Times New Roman"/>
          <w:spacing w:val="-2"/>
          <w:sz w:val="24"/>
          <w:szCs w:val="24"/>
          <w:highlight w:val="none"/>
        </w:rPr>
        <w:t>和我单位现状调查</w:t>
      </w:r>
      <w:r>
        <w:rPr>
          <w:rFonts w:hint="eastAsia" w:ascii="Times New Roman" w:hAnsi="Times New Roman" w:eastAsia="宋体" w:cs="Times New Roman"/>
          <w:spacing w:val="-2"/>
          <w:sz w:val="24"/>
          <w:szCs w:val="24"/>
          <w:highlight w:val="none"/>
          <w:lang w:val="en-US" w:eastAsia="zh-CN"/>
        </w:rPr>
        <w:t>情况，</w:t>
      </w:r>
      <w:r>
        <w:rPr>
          <w:rFonts w:hint="eastAsia" w:ascii="Times New Roman" w:hAnsi="Times New Roman" w:eastAsia="宋体" w:cs="Times New Roman"/>
          <w:kern w:val="2"/>
          <w:sz w:val="24"/>
          <w:szCs w:val="24"/>
          <w:highlight w:val="none"/>
          <w:lang w:val="en-US" w:eastAsia="zh-CN" w:bidi="ar-SA"/>
        </w:rPr>
        <w:t>三河口</w:t>
      </w:r>
      <w:r>
        <w:rPr>
          <w:rFonts w:hint="default" w:ascii="Times New Roman" w:hAnsi="Times New Roman" w:eastAsia="宋体" w:cs="Times New Roman"/>
          <w:kern w:val="2"/>
          <w:sz w:val="24"/>
          <w:szCs w:val="24"/>
          <w:highlight w:val="none"/>
          <w:lang w:val="en-US" w:eastAsia="zh-CN" w:bidi="ar-SA"/>
        </w:rPr>
        <w:t>断面</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spacing w:val="-2"/>
          <w:sz w:val="24"/>
          <w:szCs w:val="24"/>
          <w:highlight w:val="none"/>
        </w:rPr>
        <w:t>双桥河</w:t>
      </w:r>
      <w:r>
        <w:rPr>
          <w:rFonts w:hint="eastAsia" w:ascii="Times New Roman" w:hAnsi="Times New Roman" w:eastAsia="宋体" w:cs="Times New Roman"/>
          <w:kern w:val="2"/>
          <w:sz w:val="24"/>
          <w:szCs w:val="24"/>
          <w:highlight w:val="none"/>
          <w:lang w:val="en-US" w:eastAsia="zh-CN" w:bidi="ar-SA"/>
        </w:rPr>
        <w:t>）COD有效监测数据19个月，平均浓度8.6</w:t>
      </w:r>
      <w:r>
        <w:rPr>
          <w:rFonts w:hint="eastAsia" w:ascii="Times New Roman" w:hAnsi="Times New Roman" w:eastAsia="宋体" w:cs="Times New Roman"/>
          <w:spacing w:val="3"/>
          <w:sz w:val="24"/>
          <w:szCs w:val="24"/>
          <w:highlight w:val="none"/>
          <w:lang w:val="en-US" w:eastAsia="zh-CN"/>
        </w:rPr>
        <w:t>mg/L，氨氮有效监测数据20个月，平均浓度0.26mg/L；</w:t>
      </w:r>
      <w:r>
        <w:rPr>
          <w:rFonts w:hint="eastAsia" w:ascii="Times New Roman" w:hAnsi="Times New Roman" w:eastAsia="宋体" w:cs="Times New Roman"/>
          <w:kern w:val="2"/>
          <w:sz w:val="24"/>
          <w:szCs w:val="24"/>
          <w:highlight w:val="none"/>
          <w:lang w:val="en-US" w:eastAsia="zh-CN" w:bidi="ar-SA"/>
        </w:rPr>
        <w:t>汇入三河口</w:t>
      </w:r>
      <w:r>
        <w:rPr>
          <w:rFonts w:hint="default" w:ascii="Times New Roman" w:hAnsi="Times New Roman" w:eastAsia="宋体" w:cs="Times New Roman"/>
          <w:kern w:val="2"/>
          <w:sz w:val="24"/>
          <w:szCs w:val="24"/>
          <w:highlight w:val="none"/>
          <w:lang w:val="en-US" w:eastAsia="zh-CN" w:bidi="ar-SA"/>
        </w:rPr>
        <w:t>断面</w:t>
      </w:r>
      <w:r>
        <w:rPr>
          <w:rFonts w:hint="eastAsia" w:ascii="Times New Roman" w:hAnsi="Times New Roman" w:eastAsia="宋体" w:cs="Times New Roman"/>
          <w:kern w:val="2"/>
          <w:sz w:val="24"/>
          <w:szCs w:val="24"/>
          <w:highlight w:val="none"/>
          <w:lang w:val="en-US" w:eastAsia="zh-CN" w:bidi="ar-SA"/>
        </w:rPr>
        <w:t>（双桥河）水体太峪河（双桥河陕豫缓冲区源头）、桐峪河及西峪河未审批建设设置排污口。</w:t>
      </w:r>
      <w:r>
        <w:rPr>
          <w:rFonts w:hint="eastAsia" w:ascii="Times New Roman" w:hAnsi="Times New Roman" w:eastAsia="宋体" w:cs="Times New Roman"/>
          <w:spacing w:val="-2"/>
          <w:sz w:val="24"/>
          <w:szCs w:val="24"/>
          <w:highlight w:val="none"/>
          <w:lang w:val="en-US" w:eastAsia="zh-CN"/>
        </w:rPr>
        <w:t>详见附件2三河口桥断面监测数据。</w:t>
      </w:r>
    </w:p>
    <w:p>
      <w:pPr>
        <w:pStyle w:val="7"/>
        <w:keepNext w:val="0"/>
        <w:keepLines w:val="0"/>
        <w:pageBreakBefore w:val="0"/>
        <w:widowControl w:val="0"/>
        <w:kinsoku/>
        <w:wordWrap/>
        <w:overflowPunct/>
        <w:topLinePunct w:val="0"/>
        <w:autoSpaceDE/>
        <w:autoSpaceDN/>
        <w:bidi w:val="0"/>
        <w:adjustRightInd/>
        <w:snapToGrid/>
        <w:spacing w:after="0" w:line="520" w:lineRule="exact"/>
        <w:ind w:right="0" w:firstLine="472" w:firstLineChars="200"/>
        <w:jc w:val="both"/>
        <w:textAlignment w:val="auto"/>
        <w:rPr>
          <w:rFonts w:hint="eastAsia" w:ascii="Times New Roman" w:hAnsi="Times New Roman" w:eastAsia="宋体" w:cs="Times New Roman"/>
          <w:spacing w:val="-2"/>
          <w:sz w:val="24"/>
          <w:szCs w:val="24"/>
          <w:highlight w:val="none"/>
          <w:lang w:val="en-US" w:eastAsia="zh-CN"/>
        </w:rPr>
      </w:pPr>
      <w:r>
        <w:rPr>
          <w:rFonts w:hint="eastAsia" w:ascii="Times New Roman" w:hAnsi="Times New Roman" w:eastAsia="宋体" w:cs="Times New Roman"/>
          <w:spacing w:val="-2"/>
          <w:sz w:val="24"/>
          <w:szCs w:val="24"/>
          <w:highlight w:val="none"/>
          <w:lang w:val="en-US" w:eastAsia="zh-CN"/>
        </w:rPr>
        <w:t>同时根据水利部门公示的相关信息，</w:t>
      </w:r>
      <w:r>
        <w:rPr>
          <w:rFonts w:hint="eastAsia" w:ascii="Times New Roman" w:hAnsi="Times New Roman" w:eastAsia="宋体" w:cs="Times New Roman"/>
          <w:kern w:val="2"/>
          <w:sz w:val="24"/>
          <w:szCs w:val="24"/>
          <w:highlight w:val="none"/>
          <w:lang w:val="en-US" w:eastAsia="zh-CN" w:bidi="ar-SA"/>
        </w:rPr>
        <w:t>三河口</w:t>
      </w:r>
      <w:r>
        <w:rPr>
          <w:rFonts w:hint="default" w:ascii="Times New Roman" w:hAnsi="Times New Roman" w:eastAsia="宋体" w:cs="Times New Roman"/>
          <w:kern w:val="2"/>
          <w:sz w:val="24"/>
          <w:szCs w:val="24"/>
          <w:highlight w:val="none"/>
          <w:lang w:val="en-US" w:eastAsia="zh-CN" w:bidi="ar-SA"/>
        </w:rPr>
        <w:t>断面</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spacing w:val="-2"/>
          <w:sz w:val="24"/>
          <w:szCs w:val="24"/>
          <w:highlight w:val="none"/>
        </w:rPr>
        <w:t>双桥河</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spacing w:val="-2"/>
          <w:sz w:val="24"/>
          <w:szCs w:val="24"/>
          <w:highlight w:val="none"/>
        </w:rPr>
        <w:t>是陕西省河南省的界河，为黄河右岸一级支流，发源于陕西省潼关县秦岭北麓刀背梁，由南向北流经潼关县太要镇、桐峪镇，在代字营镇坡头村入河南省境内，于河南省灵宝市汇入黄河。双桥河干流长28.4 km，河道平均比降25.3%，流域面积331km</w:t>
      </w:r>
      <w:r>
        <w:rPr>
          <w:rFonts w:hint="default" w:ascii="Times New Roman" w:hAnsi="Times New Roman" w:eastAsia="宋体" w:cs="Times New Roman"/>
          <w:spacing w:val="-2"/>
          <w:sz w:val="24"/>
          <w:szCs w:val="24"/>
          <w:highlight w:val="none"/>
          <w:vertAlign w:val="superscript"/>
        </w:rPr>
        <w:t>2</w:t>
      </w:r>
      <w:r>
        <w:rPr>
          <w:rFonts w:hint="default" w:ascii="Times New Roman" w:hAnsi="Times New Roman" w:eastAsia="宋体" w:cs="Times New Roman"/>
          <w:spacing w:val="-2"/>
          <w:sz w:val="24"/>
          <w:szCs w:val="24"/>
          <w:highlight w:val="none"/>
        </w:rPr>
        <w:t>，其中陕西省境内干流长20.9km，河道平均比降53.5%，流域面积320km</w:t>
      </w:r>
      <w:r>
        <w:rPr>
          <w:rFonts w:hint="default" w:ascii="Times New Roman" w:hAnsi="Times New Roman" w:eastAsia="宋体" w:cs="Times New Roman"/>
          <w:spacing w:val="-2"/>
          <w:sz w:val="24"/>
          <w:szCs w:val="24"/>
          <w:highlight w:val="none"/>
          <w:vertAlign w:val="superscript"/>
        </w:rPr>
        <w:t>2</w:t>
      </w:r>
      <w:r>
        <w:rPr>
          <w:rFonts w:hint="default" w:ascii="Times New Roman" w:hAnsi="Times New Roman" w:eastAsia="宋体" w:cs="Times New Roman"/>
          <w:spacing w:val="-2"/>
          <w:sz w:val="24"/>
          <w:szCs w:val="24"/>
          <w:highlight w:val="none"/>
        </w:rPr>
        <w:t>，多年平均径流量3899.2万立方米</w:t>
      </w:r>
      <w:r>
        <w:rPr>
          <w:rFonts w:hint="eastAsia" w:ascii="Times New Roman" w:hAnsi="Times New Roman" w:eastAsia="宋体" w:cs="Times New Roman"/>
          <w:spacing w:val="-2"/>
          <w:sz w:val="24"/>
          <w:szCs w:val="24"/>
          <w:highlight w:val="none"/>
          <w:lang w:eastAsia="zh-CN"/>
        </w:rPr>
        <w:t>，</w:t>
      </w:r>
      <w:r>
        <w:rPr>
          <w:rFonts w:hint="eastAsia" w:ascii="Times New Roman" w:hAnsi="Times New Roman" w:eastAsia="宋体" w:cs="Times New Roman"/>
          <w:spacing w:val="-2"/>
          <w:sz w:val="24"/>
          <w:szCs w:val="24"/>
          <w:highlight w:val="none"/>
          <w:lang w:val="en-US" w:eastAsia="zh-CN"/>
        </w:rPr>
        <w:t>年平均断面入流流量1.24</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rPr>
        <w:t>/s</w:t>
      </w:r>
      <w:r>
        <w:rPr>
          <w:rFonts w:hint="eastAsia" w:ascii="Times New Roman" w:hAnsi="Times New Roman" w:eastAsia="宋体" w:cs="Times New Roman"/>
          <w:sz w:val="24"/>
          <w:szCs w:val="24"/>
          <w:highlight w:val="none"/>
          <w:lang w:eastAsia="zh-CN"/>
        </w:rPr>
        <w:t>。</w:t>
      </w:r>
    </w:p>
    <w:p>
      <w:pPr>
        <w:pStyle w:val="7"/>
        <w:keepNext w:val="0"/>
        <w:keepLines w:val="0"/>
        <w:pageBreakBefore w:val="0"/>
        <w:widowControl w:val="0"/>
        <w:kinsoku/>
        <w:wordWrap/>
        <w:overflowPunct/>
        <w:topLinePunct w:val="0"/>
        <w:autoSpaceDE/>
        <w:autoSpaceDN/>
        <w:bidi w:val="0"/>
        <w:adjustRightInd/>
        <w:snapToGrid/>
        <w:spacing w:after="0" w:line="520" w:lineRule="exact"/>
        <w:ind w:right="0" w:firstLine="472" w:firstLineChars="200"/>
        <w:jc w:val="both"/>
        <w:textAlignment w:val="auto"/>
        <w:rPr>
          <w:rFonts w:hint="eastAsia"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本</w:t>
      </w:r>
      <w:r>
        <w:rPr>
          <w:rFonts w:hint="eastAsia" w:ascii="Times New Roman" w:hAnsi="Times New Roman" w:eastAsia="宋体" w:cs="Times New Roman"/>
          <w:spacing w:val="-2"/>
          <w:sz w:val="24"/>
          <w:szCs w:val="24"/>
          <w:highlight w:val="none"/>
          <w:lang w:val="en-US" w:eastAsia="zh-CN"/>
        </w:rPr>
        <w:t>项目未正常运行前，本区域现状</w:t>
      </w:r>
      <w:r>
        <w:rPr>
          <w:rFonts w:hint="default" w:ascii="Times New Roman" w:hAnsi="Times New Roman" w:eastAsia="宋体" w:cs="Times New Roman"/>
          <w:spacing w:val="-2"/>
          <w:sz w:val="24"/>
          <w:szCs w:val="24"/>
          <w:highlight w:val="none"/>
          <w:lang w:val="en-US" w:eastAsia="zh-CN"/>
        </w:rPr>
        <w:t>排放废水量为</w:t>
      </w:r>
      <w:r>
        <w:rPr>
          <w:rFonts w:hint="eastAsia" w:ascii="Times New Roman" w:hAnsi="Times New Roman" w:eastAsia="宋体" w:cs="Times New Roman"/>
          <w:spacing w:val="-2"/>
          <w:sz w:val="24"/>
          <w:szCs w:val="24"/>
          <w:highlight w:val="none"/>
          <w:lang w:val="en-US" w:eastAsia="en-US"/>
        </w:rPr>
        <w:t>10.95万</w:t>
      </w:r>
      <w:r>
        <w:rPr>
          <w:rFonts w:hint="default" w:ascii="Times New Roman" w:hAnsi="Times New Roman" w:eastAsia="宋体" w:cs="Times New Roman"/>
          <w:spacing w:val="-2"/>
          <w:sz w:val="24"/>
          <w:szCs w:val="24"/>
          <w:highlight w:val="none"/>
          <w:lang w:val="en-US" w:eastAsia="zh-CN"/>
        </w:rPr>
        <w:t>吨/年，COD排放量</w:t>
      </w:r>
      <w:r>
        <w:rPr>
          <w:rFonts w:hint="eastAsia" w:ascii="Times New Roman" w:hAnsi="Times New Roman" w:eastAsia="宋体" w:cs="Times New Roman"/>
          <w:spacing w:val="-2"/>
          <w:sz w:val="24"/>
          <w:szCs w:val="24"/>
          <w:highlight w:val="none"/>
          <w:lang w:val="en-US" w:eastAsia="zh-CN"/>
        </w:rPr>
        <w:t>43.8</w:t>
      </w:r>
      <w:r>
        <w:rPr>
          <w:rFonts w:hint="default" w:ascii="Times New Roman" w:hAnsi="Times New Roman" w:eastAsia="宋体" w:cs="Times New Roman"/>
          <w:spacing w:val="-2"/>
          <w:sz w:val="24"/>
          <w:szCs w:val="24"/>
          <w:highlight w:val="none"/>
          <w:lang w:val="en-US" w:eastAsia="zh-CN"/>
        </w:rPr>
        <w:t>吨/年，氨氮</w:t>
      </w:r>
      <w:r>
        <w:rPr>
          <w:rFonts w:hint="eastAsia" w:ascii="Times New Roman" w:hAnsi="Times New Roman" w:eastAsia="宋体" w:cs="Times New Roman"/>
          <w:spacing w:val="-2"/>
          <w:sz w:val="24"/>
          <w:szCs w:val="24"/>
          <w:highlight w:val="none"/>
          <w:lang w:val="en-US" w:eastAsia="zh-CN"/>
        </w:rPr>
        <w:t>4.93</w:t>
      </w:r>
      <w:r>
        <w:rPr>
          <w:rFonts w:hint="default" w:ascii="Times New Roman" w:hAnsi="Times New Roman" w:eastAsia="宋体" w:cs="Times New Roman"/>
          <w:spacing w:val="-2"/>
          <w:sz w:val="24"/>
          <w:szCs w:val="24"/>
          <w:highlight w:val="none"/>
          <w:lang w:val="en-US" w:eastAsia="zh-CN"/>
        </w:rPr>
        <w:t>吨/年，</w:t>
      </w:r>
      <w:r>
        <w:rPr>
          <w:rFonts w:hint="eastAsia" w:ascii="Times New Roman" w:hAnsi="Times New Roman" w:eastAsia="宋体" w:cs="Times New Roman"/>
          <w:spacing w:val="-2"/>
          <w:sz w:val="24"/>
          <w:szCs w:val="24"/>
          <w:highlight w:val="none"/>
          <w:lang w:val="en-US" w:eastAsia="zh-CN"/>
        </w:rPr>
        <w:t>废水排放流量0.0035</w:t>
      </w:r>
      <w:r>
        <w:rPr>
          <w:rFonts w:hint="default" w:ascii="Times New Roman" w:hAnsi="Times New Roman" w:eastAsia="宋体" w:cs="Times New Roman"/>
          <w:spacing w:val="-2"/>
          <w:sz w:val="24"/>
          <w:szCs w:val="24"/>
          <w:highlight w:val="none"/>
          <w:lang w:val="en-US" w:eastAsia="zh-CN"/>
        </w:rPr>
        <w:t>m3/s</w:t>
      </w:r>
      <w:r>
        <w:rPr>
          <w:rFonts w:hint="eastAsia" w:ascii="Times New Roman" w:hAnsi="Times New Roman" w:eastAsia="宋体" w:cs="Times New Roman"/>
          <w:spacing w:val="-2"/>
          <w:sz w:val="24"/>
          <w:szCs w:val="24"/>
          <w:highlight w:val="none"/>
          <w:lang w:val="en-US" w:eastAsia="zh-CN"/>
        </w:rPr>
        <w:t>；经计算</w:t>
      </w:r>
      <w:r>
        <w:rPr>
          <w:rFonts w:hint="default" w:ascii="Times New Roman" w:hAnsi="Times New Roman" w:eastAsia="宋体" w:cs="Times New Roman"/>
          <w:spacing w:val="-2"/>
          <w:sz w:val="24"/>
          <w:szCs w:val="24"/>
          <w:highlight w:val="none"/>
          <w:lang w:val="en-US" w:eastAsia="zh-CN"/>
        </w:rPr>
        <w:t>水域纳污能力M</w:t>
      </w:r>
      <w:r>
        <w:rPr>
          <w:rFonts w:hint="eastAsia" w:ascii="Times New Roman" w:hAnsi="Times New Roman" w:eastAsia="宋体" w:cs="Times New Roman"/>
          <w:spacing w:val="-2"/>
          <w:sz w:val="24"/>
          <w:szCs w:val="24"/>
          <w:highlight w:val="none"/>
          <w:lang w:val="en-US" w:eastAsia="zh-CN"/>
        </w:rPr>
        <w:t>=14.1759</w:t>
      </w:r>
      <w:r>
        <w:rPr>
          <w:rFonts w:hint="default" w:ascii="Times New Roman" w:hAnsi="Times New Roman" w:eastAsia="宋体" w:cs="Times New Roman"/>
          <w:sz w:val="24"/>
          <w:szCs w:val="24"/>
          <w:highlight w:val="none"/>
        </w:rPr>
        <w:t>g/s</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pacing w:val="-2"/>
          <w:sz w:val="24"/>
          <w:szCs w:val="24"/>
          <w:highlight w:val="none"/>
          <w:lang w:val="en-US" w:eastAsia="zh-CN"/>
        </w:rPr>
        <w:t>排放河流</w:t>
      </w:r>
      <w:r>
        <w:rPr>
          <w:rFonts w:hint="default" w:ascii="Times New Roman" w:hAnsi="Times New Roman" w:eastAsia="宋体" w:cs="Times New Roman"/>
          <w:spacing w:val="-2"/>
          <w:sz w:val="24"/>
          <w:szCs w:val="24"/>
          <w:highlight w:val="none"/>
          <w:lang w:val="en-US" w:eastAsia="zh-CN"/>
        </w:rPr>
        <w:t>限排量COD</w:t>
      </w:r>
      <w:r>
        <w:rPr>
          <w:rFonts w:hint="eastAsia" w:ascii="Times New Roman" w:hAnsi="Times New Roman" w:eastAsia="宋体" w:cs="Times New Roman"/>
          <w:spacing w:val="-2"/>
          <w:sz w:val="24"/>
          <w:szCs w:val="24"/>
          <w:highlight w:val="none"/>
          <w:lang w:val="en-US" w:eastAsia="zh-CN"/>
        </w:rPr>
        <w:t>134.12</w:t>
      </w:r>
      <w:r>
        <w:rPr>
          <w:rFonts w:hint="default" w:ascii="Times New Roman" w:hAnsi="Times New Roman" w:eastAsia="宋体" w:cs="Times New Roman"/>
          <w:spacing w:val="-2"/>
          <w:sz w:val="24"/>
          <w:szCs w:val="24"/>
          <w:highlight w:val="none"/>
          <w:lang w:val="en-US" w:eastAsia="zh-CN"/>
        </w:rPr>
        <w:t>t/a、氨氮</w:t>
      </w:r>
      <w:r>
        <w:rPr>
          <w:rFonts w:hint="eastAsia" w:ascii="Times New Roman" w:hAnsi="Times New Roman" w:eastAsia="宋体" w:cs="Times New Roman"/>
          <w:spacing w:val="-2"/>
          <w:sz w:val="24"/>
          <w:szCs w:val="24"/>
          <w:highlight w:val="none"/>
          <w:lang w:val="en-US" w:eastAsia="zh-CN"/>
        </w:rPr>
        <w:t>24.667</w:t>
      </w:r>
      <w:r>
        <w:rPr>
          <w:rFonts w:hint="default" w:ascii="Times New Roman" w:hAnsi="Times New Roman" w:eastAsia="宋体" w:cs="Times New Roman"/>
          <w:spacing w:val="-2"/>
          <w:sz w:val="24"/>
          <w:szCs w:val="24"/>
          <w:highlight w:val="none"/>
          <w:lang w:val="en-US" w:eastAsia="zh-CN"/>
        </w:rPr>
        <w:t>t/a。则剩余纳污能力为COD</w:t>
      </w:r>
      <w:r>
        <w:rPr>
          <w:rFonts w:hint="eastAsia" w:ascii="Times New Roman" w:hAnsi="Times New Roman" w:eastAsia="宋体" w:cs="Times New Roman"/>
          <w:spacing w:val="-2"/>
          <w:sz w:val="24"/>
          <w:szCs w:val="24"/>
          <w:highlight w:val="none"/>
          <w:lang w:val="en-US" w:eastAsia="zh-CN"/>
        </w:rPr>
        <w:t>90.32</w:t>
      </w:r>
      <w:r>
        <w:rPr>
          <w:rFonts w:hint="default" w:ascii="Times New Roman" w:hAnsi="Times New Roman" w:eastAsia="宋体" w:cs="Times New Roman"/>
          <w:spacing w:val="-2"/>
          <w:sz w:val="24"/>
          <w:szCs w:val="24"/>
          <w:highlight w:val="none"/>
          <w:lang w:val="en-US" w:eastAsia="zh-CN"/>
        </w:rPr>
        <w:t>t/a、氨氮</w:t>
      </w:r>
      <w:r>
        <w:rPr>
          <w:rFonts w:hint="eastAsia" w:ascii="Times New Roman" w:hAnsi="Times New Roman" w:eastAsia="宋体" w:cs="Times New Roman"/>
          <w:spacing w:val="-2"/>
          <w:sz w:val="24"/>
          <w:szCs w:val="24"/>
          <w:highlight w:val="none"/>
          <w:lang w:val="en-US" w:eastAsia="zh-CN"/>
        </w:rPr>
        <w:t>19.737</w:t>
      </w:r>
      <w:r>
        <w:rPr>
          <w:rFonts w:hint="default" w:ascii="Times New Roman" w:hAnsi="Times New Roman" w:eastAsia="宋体" w:cs="Times New Roman"/>
          <w:spacing w:val="-2"/>
          <w:sz w:val="24"/>
          <w:szCs w:val="24"/>
          <w:highlight w:val="none"/>
          <w:lang w:val="en-US" w:eastAsia="zh-CN"/>
        </w:rPr>
        <w:t>t/a。水域纳污能力</w:t>
      </w:r>
      <w:r>
        <w:rPr>
          <w:rFonts w:hint="eastAsia" w:ascii="Times New Roman" w:hAnsi="Times New Roman" w:eastAsia="宋体" w:cs="Times New Roman"/>
          <w:spacing w:val="-2"/>
          <w:sz w:val="24"/>
          <w:szCs w:val="24"/>
          <w:highlight w:val="none"/>
          <w:lang w:val="en-US" w:eastAsia="zh-CN"/>
        </w:rPr>
        <w:t>详见下表4.2-1。</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微软雅黑" w:hAnsi="微软雅黑" w:eastAsia="微软雅黑" w:cs="微软雅黑"/>
          <w:color w:val="818181"/>
          <w:spacing w:val="15"/>
          <w:kern w:val="2"/>
          <w:sz w:val="19"/>
          <w:szCs w:val="19"/>
          <w:lang w:val="en-US" w:eastAsia="zh-CN" w:bidi="ar-SA"/>
        </w:rPr>
      </w:pPr>
      <w:r>
        <w:rPr>
          <w:rFonts w:hint="eastAsia" w:ascii="微软雅黑" w:hAnsi="微软雅黑" w:eastAsia="微软雅黑" w:cs="微软雅黑"/>
          <w:color w:val="818181"/>
          <w:spacing w:val="15"/>
          <w:kern w:val="2"/>
          <w:sz w:val="19"/>
          <w:szCs w:val="19"/>
          <w:lang w:val="en-US" w:eastAsia="zh-CN" w:bidi="ar-SA"/>
        </w:rPr>
        <w:t>表4.1-4</w:t>
      </w:r>
      <w:r>
        <w:rPr>
          <w:rFonts w:hint="default" w:ascii="微软雅黑" w:hAnsi="微软雅黑" w:eastAsia="微软雅黑" w:cs="微软雅黑"/>
          <w:color w:val="818181"/>
          <w:spacing w:val="15"/>
          <w:kern w:val="2"/>
          <w:sz w:val="19"/>
          <w:szCs w:val="19"/>
          <w:lang w:val="en-US" w:eastAsia="zh-CN" w:bidi="ar-SA"/>
        </w:rPr>
        <w:t>水域纳污能力</w:t>
      </w:r>
    </w:p>
    <w:tbl>
      <w:tblPr>
        <w:tblStyle w:val="14"/>
        <w:tblW w:w="5013"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460"/>
        <w:gridCol w:w="935"/>
        <w:gridCol w:w="621"/>
        <w:gridCol w:w="795"/>
        <w:gridCol w:w="771"/>
        <w:gridCol w:w="795"/>
        <w:gridCol w:w="795"/>
        <w:gridCol w:w="919"/>
        <w:gridCol w:w="625"/>
        <w:gridCol w:w="942"/>
        <w:gridCol w:w="80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80" w:type="pct"/>
            <w:vMerge w:val="restar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行政区</w:t>
            </w:r>
          </w:p>
        </w:tc>
        <w:tc>
          <w:tcPr>
            <w:tcW w:w="560" w:type="pct"/>
            <w:vMerge w:val="restar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水功能区</w:t>
            </w:r>
          </w:p>
        </w:tc>
        <w:tc>
          <w:tcPr>
            <w:tcW w:w="375" w:type="pct"/>
            <w:vMerge w:val="restar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水平年</w:t>
            </w:r>
          </w:p>
        </w:tc>
        <w:tc>
          <w:tcPr>
            <w:tcW w:w="941" w:type="pct"/>
            <w:gridSpan w:val="2"/>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纳污能力</w:t>
            </w:r>
          </w:p>
        </w:tc>
        <w:tc>
          <w:tcPr>
            <w:tcW w:w="941" w:type="pct"/>
            <w:gridSpan w:val="2"/>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限排量</w:t>
            </w:r>
          </w:p>
        </w:tc>
        <w:tc>
          <w:tcPr>
            <w:tcW w:w="942" w:type="pct"/>
            <w:gridSpan w:val="2"/>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现状入河量</w:t>
            </w:r>
          </w:p>
        </w:tc>
        <w:tc>
          <w:tcPr>
            <w:tcW w:w="957" w:type="pct"/>
            <w:gridSpan w:val="2"/>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剩余纳污能力</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80" w:type="pct"/>
            <w:vMerge w:val="continue"/>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p>
        </w:tc>
        <w:tc>
          <w:tcPr>
            <w:tcW w:w="560" w:type="pct"/>
            <w:vMerge w:val="continue"/>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p>
        </w:tc>
        <w:tc>
          <w:tcPr>
            <w:tcW w:w="375" w:type="pct"/>
            <w:vMerge w:val="continue"/>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p>
        </w:tc>
        <w:tc>
          <w:tcPr>
            <w:tcW w:w="470" w:type="pc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COD</w:t>
            </w:r>
          </w:p>
        </w:tc>
        <w:tc>
          <w:tcPr>
            <w:tcW w:w="471" w:type="pc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氨氮</w:t>
            </w:r>
          </w:p>
        </w:tc>
        <w:tc>
          <w:tcPr>
            <w:tcW w:w="470" w:type="pc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COD</w:t>
            </w:r>
          </w:p>
        </w:tc>
        <w:tc>
          <w:tcPr>
            <w:tcW w:w="471" w:type="pc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氨氮</w:t>
            </w:r>
          </w:p>
        </w:tc>
        <w:tc>
          <w:tcPr>
            <w:tcW w:w="565" w:type="pc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COD</w:t>
            </w:r>
          </w:p>
        </w:tc>
        <w:tc>
          <w:tcPr>
            <w:tcW w:w="377" w:type="pc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氨氮</w:t>
            </w:r>
          </w:p>
        </w:tc>
        <w:tc>
          <w:tcPr>
            <w:tcW w:w="564" w:type="pc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COD</w:t>
            </w:r>
          </w:p>
        </w:tc>
        <w:tc>
          <w:tcPr>
            <w:tcW w:w="393" w:type="pct"/>
            <w:tcBorders>
              <w:tl2br w:val="nil"/>
              <w:tr2bl w:val="nil"/>
            </w:tcBorders>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氨氮</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80"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渭南市</w:t>
            </w:r>
          </w:p>
        </w:tc>
        <w:tc>
          <w:tcPr>
            <w:tcW w:w="560"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eastAsia"/>
                <w:spacing w:val="11"/>
                <w:sz w:val="19"/>
                <w:szCs w:val="19"/>
                <w:lang w:eastAsia="zh-CN"/>
              </w:rPr>
            </w:pPr>
            <w:r>
              <w:rPr>
                <w:rFonts w:hint="eastAsia"/>
                <w:spacing w:val="11"/>
                <w:sz w:val="19"/>
                <w:szCs w:val="19"/>
                <w:lang w:val="en-US" w:eastAsia="zh-CN"/>
              </w:rPr>
              <w:t>陕豫缓冲区</w:t>
            </w:r>
          </w:p>
        </w:tc>
        <w:tc>
          <w:tcPr>
            <w:tcW w:w="37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default"/>
                <w:spacing w:val="11"/>
                <w:sz w:val="19"/>
                <w:szCs w:val="19"/>
              </w:rPr>
              <w:t>2020年</w:t>
            </w:r>
          </w:p>
        </w:tc>
        <w:tc>
          <w:tcPr>
            <w:tcW w:w="470"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lang w:val="en-US" w:eastAsia="zh-CN"/>
              </w:rPr>
            </w:pPr>
            <w:r>
              <w:rPr>
                <w:rFonts w:hint="eastAsia"/>
                <w:spacing w:val="11"/>
                <w:sz w:val="19"/>
                <w:szCs w:val="19"/>
                <w:lang w:val="en-US" w:eastAsia="zh-CN"/>
              </w:rPr>
              <w:t>447.05</w:t>
            </w:r>
          </w:p>
        </w:tc>
        <w:tc>
          <w:tcPr>
            <w:tcW w:w="471"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lang w:val="en-US" w:eastAsia="zh-CN"/>
              </w:rPr>
            </w:pPr>
            <w:r>
              <w:rPr>
                <w:rFonts w:hint="eastAsia"/>
                <w:spacing w:val="11"/>
                <w:sz w:val="19"/>
                <w:szCs w:val="19"/>
                <w:lang w:val="en-US" w:eastAsia="zh-CN"/>
              </w:rPr>
              <w:t>29.02</w:t>
            </w:r>
          </w:p>
        </w:tc>
        <w:tc>
          <w:tcPr>
            <w:tcW w:w="470"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lang w:val="en-US" w:eastAsia="zh-CN"/>
              </w:rPr>
            </w:pPr>
            <w:r>
              <w:rPr>
                <w:rFonts w:hint="eastAsia"/>
                <w:spacing w:val="11"/>
                <w:sz w:val="19"/>
                <w:szCs w:val="19"/>
                <w:lang w:val="en-US" w:eastAsia="zh-CN"/>
              </w:rPr>
              <w:t>134.12</w:t>
            </w:r>
          </w:p>
        </w:tc>
        <w:tc>
          <w:tcPr>
            <w:tcW w:w="471"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lang w:val="en-US" w:eastAsia="zh-CN"/>
              </w:rPr>
            </w:pPr>
            <w:r>
              <w:rPr>
                <w:rFonts w:hint="eastAsia"/>
                <w:spacing w:val="11"/>
                <w:sz w:val="19"/>
                <w:szCs w:val="19"/>
                <w:lang w:val="en-US" w:eastAsia="zh-CN"/>
              </w:rPr>
              <w:t>24.667</w:t>
            </w:r>
          </w:p>
        </w:tc>
        <w:tc>
          <w:tcPr>
            <w:tcW w:w="56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eastAsia"/>
                <w:spacing w:val="11"/>
                <w:sz w:val="19"/>
                <w:szCs w:val="19"/>
                <w:lang w:val="en-US" w:eastAsia="zh-CN"/>
              </w:rPr>
              <w:t>43.8</w:t>
            </w:r>
          </w:p>
        </w:tc>
        <w:tc>
          <w:tcPr>
            <w:tcW w:w="377"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rPr>
            </w:pPr>
            <w:r>
              <w:rPr>
                <w:rFonts w:hint="eastAsia"/>
                <w:spacing w:val="11"/>
                <w:sz w:val="19"/>
                <w:szCs w:val="19"/>
                <w:lang w:val="en-US" w:eastAsia="zh-CN"/>
              </w:rPr>
              <w:t>4.93</w:t>
            </w:r>
          </w:p>
        </w:tc>
        <w:tc>
          <w:tcPr>
            <w:tcW w:w="564"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lang w:val="en-US" w:eastAsia="zh-CN"/>
              </w:rPr>
            </w:pPr>
            <w:r>
              <w:rPr>
                <w:rFonts w:hint="eastAsia"/>
                <w:spacing w:val="11"/>
                <w:sz w:val="19"/>
                <w:szCs w:val="19"/>
                <w:lang w:val="en-US" w:eastAsia="zh-CN"/>
              </w:rPr>
              <w:t>90.32</w:t>
            </w:r>
          </w:p>
        </w:tc>
        <w:tc>
          <w:tcPr>
            <w:tcW w:w="393"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before="61" w:line="247" w:lineRule="auto"/>
              <w:ind w:right="153"/>
              <w:jc w:val="center"/>
              <w:textAlignment w:val="auto"/>
              <w:rPr>
                <w:rFonts w:hint="default"/>
                <w:spacing w:val="11"/>
                <w:sz w:val="19"/>
                <w:szCs w:val="19"/>
                <w:lang w:val="en-US" w:eastAsia="zh-CN"/>
              </w:rPr>
            </w:pPr>
            <w:r>
              <w:rPr>
                <w:rFonts w:hint="eastAsia"/>
                <w:spacing w:val="11"/>
                <w:sz w:val="19"/>
                <w:szCs w:val="19"/>
                <w:lang w:val="en-US" w:eastAsia="zh-CN"/>
              </w:rPr>
              <w:t>19.737</w:t>
            </w:r>
          </w:p>
        </w:tc>
      </w:tr>
    </w:tbl>
    <w:p>
      <w:pPr>
        <w:pStyle w:val="3"/>
        <w:pageBreakBefore w:val="0"/>
        <w:widowControl w:val="0"/>
        <w:tabs>
          <w:tab w:val="left" w:pos="955"/>
          <w:tab w:val="clear" w:pos="0"/>
        </w:tabs>
        <w:kinsoku/>
        <w:wordWrap/>
        <w:overflowPunct/>
        <w:topLinePunct w:val="0"/>
        <w:autoSpaceDE/>
        <w:autoSpaceDN/>
        <w:bidi w:val="0"/>
        <w:adjustRightInd/>
        <w:snapToGrid/>
        <w:spacing w:before="0" w:beforeLines="0" w:after="0" w:afterLines="0" w:line="360" w:lineRule="auto"/>
        <w:ind w:left="0" w:leftChars="0" w:right="0" w:firstLine="422" w:firstLineChars="150"/>
        <w:jc w:val="left"/>
        <w:textAlignment w:val="auto"/>
        <w:rPr>
          <w:rFonts w:hint="default" w:ascii="Times New Roman" w:hAnsi="Times New Roman" w:eastAsia="宋体" w:cs="Times New Roman"/>
          <w:b w:val="0"/>
          <w:bCs w:val="0"/>
          <w:sz w:val="28"/>
          <w:szCs w:val="28"/>
          <w:highlight w:val="none"/>
        </w:rPr>
      </w:pPr>
      <w:bookmarkStart w:id="87" w:name="3.3.论证水功能区（水域）现有取排水状况"/>
      <w:bookmarkEnd w:id="87"/>
      <w:bookmarkStart w:id="88" w:name="_bookmark15"/>
      <w:bookmarkEnd w:id="88"/>
      <w:bookmarkStart w:id="89" w:name="_Toc26482"/>
      <w:bookmarkStart w:id="90" w:name="_Toc28957"/>
      <w:bookmarkStart w:id="91" w:name="_Toc8147"/>
      <w:r>
        <w:rPr>
          <w:rFonts w:hint="eastAsia" w:ascii="Times New Roman" w:hAnsi="Times New Roman" w:eastAsia="宋体" w:cs="Times New Roman"/>
          <w:sz w:val="28"/>
          <w:szCs w:val="28"/>
          <w:highlight w:val="none"/>
          <w:lang w:val="en-US" w:eastAsia="zh-CN"/>
        </w:rPr>
        <w:t>分析</w:t>
      </w:r>
      <w:r>
        <w:rPr>
          <w:rFonts w:hint="default" w:ascii="Times New Roman" w:hAnsi="Times New Roman" w:eastAsia="宋体" w:cs="Times New Roman"/>
          <w:sz w:val="28"/>
          <w:szCs w:val="28"/>
          <w:highlight w:val="none"/>
        </w:rPr>
        <w:t>水功能区（水域）现有取排水状况</w:t>
      </w:r>
      <w:bookmarkEnd w:id="89"/>
      <w:bookmarkEnd w:id="90"/>
    </w:p>
    <w:p>
      <w:pPr>
        <w:pStyle w:val="4"/>
        <w:pageBreakBefore w:val="0"/>
        <w:widowControl w:val="0"/>
        <w:tabs>
          <w:tab w:val="left" w:pos="955"/>
          <w:tab w:val="clear" w:pos="420"/>
        </w:tabs>
        <w:kinsoku/>
        <w:wordWrap/>
        <w:overflowPunct/>
        <w:topLinePunct w:val="0"/>
        <w:autoSpaceDE/>
        <w:autoSpaceDN/>
        <w:bidi w:val="0"/>
        <w:adjustRightInd/>
        <w:snapToGrid/>
        <w:spacing w:before="0" w:after="0" w:line="520" w:lineRule="exact"/>
        <w:ind w:right="0" w:firstLine="476" w:firstLineChars="200"/>
        <w:jc w:val="left"/>
        <w:textAlignment w:val="auto"/>
        <w:rPr>
          <w:rFonts w:hint="default" w:ascii="Times New Roman" w:hAnsi="Times New Roman" w:eastAsia="宋体" w:cs="Times New Roman"/>
          <w:b w:val="0"/>
          <w:bCs w:val="0"/>
          <w:sz w:val="24"/>
          <w:szCs w:val="24"/>
          <w:highlight w:val="none"/>
        </w:rPr>
      </w:pPr>
      <w:bookmarkStart w:id="92" w:name="3.3.1.功能区取水现状"/>
      <w:bookmarkEnd w:id="92"/>
      <w:r>
        <w:rPr>
          <w:rFonts w:hint="default" w:ascii="Times New Roman" w:hAnsi="Times New Roman" w:eastAsia="宋体" w:cs="Times New Roman"/>
          <w:spacing w:val="-1"/>
          <w:sz w:val="24"/>
          <w:szCs w:val="24"/>
          <w:highlight w:val="none"/>
        </w:rPr>
        <w:t>功能区取水现状</w:t>
      </w:r>
    </w:p>
    <w:p>
      <w:pPr>
        <w:pStyle w:val="7"/>
        <w:pageBreakBefore w:val="0"/>
        <w:widowControl w:val="0"/>
        <w:kinsoku/>
        <w:wordWrap/>
        <w:overflowPunct/>
        <w:topLinePunct w:val="0"/>
        <w:autoSpaceDE/>
        <w:autoSpaceDN/>
        <w:bidi w:val="0"/>
        <w:adjustRightInd/>
        <w:snapToGrid/>
        <w:spacing w:after="0" w:line="520" w:lineRule="exact"/>
        <w:ind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根据《陕西省水功能区划》</w:t>
      </w:r>
      <w:r>
        <w:rPr>
          <w:rFonts w:hint="eastAsia" w:ascii="Times New Roman" w:hAnsi="Times New Roman" w:eastAsia="宋体" w:cs="Times New Roman"/>
          <w:spacing w:val="-3"/>
          <w:sz w:val="24"/>
          <w:szCs w:val="24"/>
          <w:highlight w:val="none"/>
          <w:lang w:val="en-US" w:eastAsia="zh-CN"/>
        </w:rPr>
        <w:t>双桥河作为陕豫缓冲区，</w:t>
      </w:r>
      <w:r>
        <w:rPr>
          <w:rFonts w:hint="default" w:ascii="Times New Roman" w:hAnsi="Times New Roman" w:eastAsia="宋体" w:cs="Times New Roman"/>
          <w:sz w:val="24"/>
          <w:szCs w:val="24"/>
          <w:highlight w:val="none"/>
        </w:rPr>
        <w:t>水质管理目标为</w:t>
      </w:r>
      <w:r>
        <w:rPr>
          <w:rFonts w:hint="eastAsia" w:ascii="宋体" w:hAnsi="宋体" w:eastAsia="宋体" w:cs="宋体"/>
          <w:sz w:val="24"/>
          <w:szCs w:val="24"/>
          <w:highlight w:val="none"/>
        </w:rPr>
        <w:t>Ⅲ</w:t>
      </w:r>
      <w:r>
        <w:rPr>
          <w:rFonts w:hint="default" w:ascii="Times New Roman" w:hAnsi="Times New Roman" w:eastAsia="宋体" w:cs="Times New Roman"/>
          <w:sz w:val="24"/>
          <w:szCs w:val="24"/>
          <w:highlight w:val="none"/>
        </w:rPr>
        <w:t>类</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经现场现状调查，</w:t>
      </w:r>
      <w:r>
        <w:rPr>
          <w:rFonts w:hint="eastAsia" w:ascii="Times New Roman" w:hAnsi="Times New Roman" w:eastAsia="宋体" w:cs="Times New Roman"/>
          <w:sz w:val="24"/>
          <w:szCs w:val="24"/>
          <w:highlight w:val="none"/>
          <w:lang w:val="en-US" w:eastAsia="zh-CN"/>
        </w:rPr>
        <w:t>水域河流地表水来自</w:t>
      </w:r>
      <w:r>
        <w:rPr>
          <w:rFonts w:hint="eastAsia" w:ascii="宋体" w:hAnsi="宋体" w:eastAsia="宋体" w:cs="宋体"/>
          <w:kern w:val="2"/>
          <w:sz w:val="24"/>
          <w:szCs w:val="24"/>
          <w:lang w:val="en-US" w:eastAsia="zh-CN" w:bidi="ar-SA"/>
        </w:rPr>
        <w:t>秦岭北麓，流经村镇及居民耕地。功能区区域内居民均以</w:t>
      </w:r>
      <w:r>
        <w:rPr>
          <w:rFonts w:hint="default" w:ascii="Times New Roman" w:hAnsi="Times New Roman" w:eastAsia="宋体" w:cs="Times New Roman"/>
          <w:sz w:val="24"/>
          <w:szCs w:val="24"/>
          <w:highlight w:val="none"/>
        </w:rPr>
        <w:t>地下水</w:t>
      </w:r>
      <w:r>
        <w:rPr>
          <w:rFonts w:hint="eastAsia" w:ascii="Times New Roman" w:hAnsi="Times New Roman" w:eastAsia="宋体" w:cs="Times New Roman"/>
          <w:sz w:val="24"/>
          <w:szCs w:val="24"/>
          <w:highlight w:val="none"/>
          <w:lang w:val="en-US" w:eastAsia="zh-CN"/>
        </w:rPr>
        <w:t>为</w:t>
      </w:r>
      <w:r>
        <w:rPr>
          <w:rFonts w:hint="default" w:ascii="Times New Roman" w:hAnsi="Times New Roman" w:eastAsia="宋体" w:cs="Times New Roman"/>
          <w:spacing w:val="-2"/>
          <w:sz w:val="24"/>
          <w:szCs w:val="24"/>
          <w:highlight w:val="none"/>
        </w:rPr>
        <w:t>饮用水源，</w:t>
      </w:r>
      <w:r>
        <w:rPr>
          <w:rFonts w:hint="eastAsia" w:ascii="Times New Roman" w:hAnsi="Times New Roman" w:eastAsia="宋体" w:cs="Times New Roman"/>
          <w:spacing w:val="-2"/>
          <w:sz w:val="24"/>
          <w:szCs w:val="24"/>
          <w:highlight w:val="none"/>
          <w:lang w:val="en-US" w:eastAsia="zh-CN"/>
        </w:rPr>
        <w:t>村镇居民在气候干旱是会取水</w:t>
      </w:r>
      <w:r>
        <w:rPr>
          <w:rFonts w:hint="default" w:ascii="Times New Roman" w:hAnsi="Times New Roman" w:eastAsia="宋体" w:cs="Times New Roman"/>
          <w:spacing w:val="-2"/>
          <w:sz w:val="24"/>
          <w:szCs w:val="24"/>
          <w:highlight w:val="none"/>
        </w:rPr>
        <w:t>进行农灌</w:t>
      </w:r>
      <w:r>
        <w:rPr>
          <w:rFonts w:hint="eastAsia" w:ascii="Times New Roman" w:hAnsi="Times New Roman" w:eastAsia="宋体" w:cs="Times New Roman"/>
          <w:spacing w:val="-2"/>
          <w:sz w:val="24"/>
          <w:szCs w:val="24"/>
          <w:highlight w:val="none"/>
          <w:lang w:eastAsia="zh-CN"/>
        </w:rPr>
        <w:t>，</w:t>
      </w:r>
      <w:r>
        <w:rPr>
          <w:rFonts w:hint="eastAsia" w:ascii="Times New Roman" w:hAnsi="Times New Roman" w:eastAsia="宋体" w:cs="Times New Roman"/>
          <w:spacing w:val="-2"/>
          <w:sz w:val="24"/>
          <w:szCs w:val="24"/>
          <w:highlight w:val="none"/>
          <w:lang w:val="en-US" w:eastAsia="zh-CN"/>
        </w:rPr>
        <w:t>区域内</w:t>
      </w:r>
      <w:r>
        <w:rPr>
          <w:rFonts w:hint="default" w:ascii="Times New Roman" w:hAnsi="Times New Roman" w:eastAsia="宋体" w:cs="Times New Roman"/>
          <w:sz w:val="24"/>
          <w:szCs w:val="24"/>
          <w:highlight w:val="none"/>
        </w:rPr>
        <w:t>目前没有取水项目及用户。</w:t>
      </w:r>
    </w:p>
    <w:p>
      <w:pPr>
        <w:pStyle w:val="4"/>
        <w:pageBreakBefore w:val="0"/>
        <w:widowControl w:val="0"/>
        <w:tabs>
          <w:tab w:val="left" w:pos="955"/>
          <w:tab w:val="clear" w:pos="420"/>
        </w:tabs>
        <w:kinsoku/>
        <w:wordWrap/>
        <w:overflowPunct/>
        <w:topLinePunct w:val="0"/>
        <w:autoSpaceDE/>
        <w:autoSpaceDN/>
        <w:bidi w:val="0"/>
        <w:adjustRightInd/>
        <w:snapToGrid/>
        <w:spacing w:before="0" w:after="0" w:line="520" w:lineRule="exact"/>
        <w:ind w:right="0" w:firstLine="476" w:firstLineChars="200"/>
        <w:jc w:val="left"/>
        <w:textAlignment w:val="auto"/>
        <w:rPr>
          <w:rFonts w:hint="default" w:ascii="Times New Roman" w:hAnsi="Times New Roman" w:eastAsia="宋体" w:cs="Times New Roman"/>
          <w:b w:val="0"/>
          <w:bCs w:val="0"/>
          <w:sz w:val="24"/>
          <w:szCs w:val="24"/>
          <w:highlight w:val="none"/>
        </w:rPr>
      </w:pPr>
      <w:bookmarkStart w:id="93" w:name="3.3.2.排水现状"/>
      <w:bookmarkEnd w:id="93"/>
      <w:r>
        <w:rPr>
          <w:rFonts w:hint="default" w:ascii="Times New Roman" w:hAnsi="Times New Roman" w:eastAsia="宋体" w:cs="Times New Roman"/>
          <w:spacing w:val="-1"/>
          <w:sz w:val="24"/>
          <w:szCs w:val="24"/>
          <w:highlight w:val="none"/>
        </w:rPr>
        <w:t>功能区</w:t>
      </w:r>
      <w:r>
        <w:rPr>
          <w:rFonts w:hint="default" w:ascii="Times New Roman" w:hAnsi="Times New Roman" w:eastAsia="宋体" w:cs="Times New Roman"/>
          <w:spacing w:val="-1"/>
          <w:sz w:val="24"/>
          <w:szCs w:val="24"/>
          <w:highlight w:val="none"/>
        </w:rPr>
        <w:t>排水现状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rPr>
      </w:pPr>
      <w:r>
        <w:rPr>
          <w:rFonts w:hint="default" w:ascii="Times New Roman" w:hAnsi="Times New Roman" w:eastAsia="宋体" w:cs="Times New Roman"/>
          <w:sz w:val="24"/>
          <w:szCs w:val="24"/>
          <w:highlight w:val="none"/>
        </w:rPr>
        <w:t>经现场现状调查</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功能区陕豫缓冲区自入黄口至源头（太峪）24km范围内，现有潼关县工业园区污水处理厂一座，处理园区内企业生活污水，该项目现未申报排污口，该项目排放满足环境影响评价批复要求；双桥河其他支流区域排水情况均为区域内村镇居民日常生活排水。</w:t>
      </w:r>
    </w:p>
    <w:p>
      <w:pPr>
        <w:pStyle w:val="3"/>
        <w:bidi w:val="0"/>
        <w:ind w:left="0" w:leftChars="0" w:firstLine="0" w:firstLineChars="0"/>
        <w:rPr>
          <w:rFonts w:hint="default"/>
          <w:color w:val="auto"/>
        </w:rPr>
      </w:pPr>
      <w:bookmarkStart w:id="94" w:name="_Toc16913"/>
      <w:r>
        <w:rPr>
          <w:rFonts w:hint="eastAsia"/>
          <w:color w:val="auto"/>
          <w:lang w:eastAsia="zh-CN"/>
        </w:rPr>
        <w:t>对水功能区水质影响分析</w:t>
      </w:r>
      <w:bookmarkEnd w:id="91"/>
      <w:bookmarkEnd w:id="94"/>
    </w:p>
    <w:p>
      <w:pPr>
        <w:pStyle w:val="4"/>
        <w:bidi w:val="0"/>
        <w:ind w:left="0" w:leftChars="0" w:firstLine="0" w:firstLineChars="0"/>
        <w:rPr>
          <w:rFonts w:hint="eastAsia"/>
          <w:color w:val="auto"/>
          <w:highlight w:val="none"/>
          <w:lang w:val="en-US" w:eastAsia="zh-CN"/>
        </w:rPr>
      </w:pPr>
      <w:bookmarkStart w:id="95" w:name="_Toc21383"/>
      <w:r>
        <w:rPr>
          <w:rFonts w:hint="eastAsia"/>
          <w:color w:val="auto"/>
          <w:highlight w:val="none"/>
          <w:lang w:val="en-US" w:eastAsia="zh-CN"/>
        </w:rPr>
        <w:t>水域水质的影响</w:t>
      </w:r>
      <w:bookmarkEnd w:id="95"/>
      <w:r>
        <w:rPr>
          <w:rFonts w:hint="eastAsia"/>
          <w:color w:val="auto"/>
          <w:highlight w:val="none"/>
          <w:lang w:val="en-US" w:eastAsia="zh-CN"/>
        </w:rPr>
        <w:t>（污染物削减量）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pacing w:val="-2"/>
          <w:sz w:val="24"/>
          <w:szCs w:val="24"/>
          <w:highlight w:val="none"/>
          <w:lang w:val="en-US" w:eastAsia="zh-CN"/>
        </w:rPr>
      </w:pPr>
      <w:r>
        <w:rPr>
          <w:rFonts w:hint="eastAsia" w:ascii="宋体" w:hAnsi="宋体" w:eastAsia="宋体" w:cs="宋体"/>
          <w:sz w:val="24"/>
          <w:szCs w:val="24"/>
          <w:lang w:eastAsia="zh-CN"/>
        </w:rPr>
        <w:t>潼关县桐峪镇污水处理站</w:t>
      </w:r>
      <w:r>
        <w:rPr>
          <w:rFonts w:hint="eastAsia" w:ascii="宋体" w:hAnsi="宋体" w:eastAsia="宋体" w:cs="宋体"/>
          <w:sz w:val="24"/>
          <w:szCs w:val="24"/>
        </w:rPr>
        <w:t>项目</w:t>
      </w:r>
      <w:r>
        <w:rPr>
          <w:rFonts w:hint="eastAsia" w:ascii="宋体" w:hAnsi="宋体" w:eastAsia="宋体" w:cs="宋体"/>
          <w:sz w:val="24"/>
          <w:szCs w:val="24"/>
          <w:lang w:eastAsia="zh-CN"/>
        </w:rPr>
        <w:t>污水处理站</w:t>
      </w:r>
      <w:r>
        <w:rPr>
          <w:rFonts w:hint="eastAsia" w:ascii="宋体" w:hAnsi="宋体" w:eastAsia="宋体" w:cs="宋体"/>
          <w:color w:val="auto"/>
          <w:sz w:val="24"/>
          <w:szCs w:val="24"/>
          <w:highlight w:val="none"/>
          <w:lang w:val="en-US" w:eastAsia="zh-CN"/>
        </w:rPr>
        <w:t>处理工程在未正常运行时，桐峪河区域内居民生活污水直接排放对水域的水质影响较大，对周围自然环境造成不利影响，直接或间接废水排放量</w:t>
      </w:r>
      <w:r>
        <w:rPr>
          <w:rFonts w:hint="eastAsia" w:ascii="Times New Roman" w:hAnsi="Times New Roman" w:eastAsia="宋体" w:cs="Times New Roman"/>
          <w:spacing w:val="-2"/>
          <w:sz w:val="24"/>
          <w:szCs w:val="24"/>
          <w:highlight w:val="none"/>
          <w:lang w:val="en-US" w:eastAsia="en-US"/>
        </w:rPr>
        <w:t>10.95万</w:t>
      </w:r>
      <w:r>
        <w:rPr>
          <w:rFonts w:hint="default" w:ascii="Times New Roman" w:hAnsi="Times New Roman" w:eastAsia="宋体" w:cs="Times New Roman"/>
          <w:spacing w:val="-2"/>
          <w:sz w:val="24"/>
          <w:szCs w:val="24"/>
          <w:highlight w:val="none"/>
          <w:lang w:val="en-US" w:eastAsia="zh-CN"/>
        </w:rPr>
        <w:t>吨/年，</w:t>
      </w:r>
      <w:r>
        <w:rPr>
          <w:rFonts w:hint="eastAsia" w:ascii="Times New Roman" w:hAnsi="Times New Roman" w:eastAsia="宋体" w:cs="Times New Roman"/>
          <w:spacing w:val="-2"/>
          <w:sz w:val="24"/>
          <w:szCs w:val="24"/>
          <w:highlight w:val="none"/>
          <w:lang w:val="en-US" w:eastAsia="zh-CN"/>
        </w:rPr>
        <w:t>污染物</w:t>
      </w:r>
      <w:r>
        <w:rPr>
          <w:rFonts w:hint="default" w:ascii="Times New Roman" w:hAnsi="Times New Roman" w:eastAsia="宋体" w:cs="Times New Roman"/>
          <w:spacing w:val="-2"/>
          <w:sz w:val="24"/>
          <w:szCs w:val="24"/>
          <w:highlight w:val="none"/>
          <w:lang w:val="en-US" w:eastAsia="zh-CN"/>
        </w:rPr>
        <w:t>COD排放量</w:t>
      </w:r>
      <w:r>
        <w:rPr>
          <w:rFonts w:hint="eastAsia" w:ascii="Times New Roman" w:hAnsi="Times New Roman" w:eastAsia="宋体" w:cs="Times New Roman"/>
          <w:spacing w:val="-2"/>
          <w:sz w:val="24"/>
          <w:szCs w:val="24"/>
          <w:highlight w:val="none"/>
          <w:lang w:val="en-US" w:eastAsia="zh-CN"/>
        </w:rPr>
        <w:t>43.8</w:t>
      </w:r>
      <w:r>
        <w:rPr>
          <w:rFonts w:hint="default" w:ascii="Times New Roman" w:hAnsi="Times New Roman" w:eastAsia="宋体" w:cs="Times New Roman"/>
          <w:spacing w:val="-2"/>
          <w:sz w:val="24"/>
          <w:szCs w:val="24"/>
          <w:highlight w:val="none"/>
          <w:lang w:val="en-US" w:eastAsia="zh-CN"/>
        </w:rPr>
        <w:t>吨/年，氨氮</w:t>
      </w:r>
      <w:r>
        <w:rPr>
          <w:rFonts w:hint="eastAsia" w:ascii="Times New Roman" w:hAnsi="Times New Roman" w:eastAsia="宋体" w:cs="Times New Roman"/>
          <w:spacing w:val="-2"/>
          <w:sz w:val="24"/>
          <w:szCs w:val="24"/>
          <w:highlight w:val="none"/>
          <w:lang w:val="en-US" w:eastAsia="zh-CN"/>
        </w:rPr>
        <w:t>排放量4.93</w:t>
      </w:r>
      <w:r>
        <w:rPr>
          <w:rFonts w:hint="default" w:ascii="Times New Roman" w:hAnsi="Times New Roman" w:eastAsia="宋体" w:cs="Times New Roman"/>
          <w:spacing w:val="-2"/>
          <w:sz w:val="24"/>
          <w:szCs w:val="24"/>
          <w:highlight w:val="none"/>
          <w:lang w:val="en-US" w:eastAsia="zh-CN"/>
        </w:rPr>
        <w:t>吨/年</w:t>
      </w:r>
      <w:r>
        <w:rPr>
          <w:rFonts w:hint="eastAsia" w:ascii="Times New Roman" w:hAnsi="Times New Roman" w:eastAsia="宋体" w:cs="Times New Roman"/>
          <w:spacing w:val="-2"/>
          <w:sz w:val="24"/>
          <w:szCs w:val="24"/>
          <w:highlight w:val="none"/>
          <w:lang w:val="en-US" w:eastAsia="zh-CN"/>
        </w:rPr>
        <w:t>；本项目正式投入运营，排污口规范设置后，</w:t>
      </w:r>
      <w:r>
        <w:rPr>
          <w:rFonts w:hint="eastAsia" w:ascii="宋体" w:hAnsi="宋体" w:eastAsia="宋体" w:cs="宋体"/>
          <w:color w:val="auto"/>
          <w:sz w:val="24"/>
          <w:szCs w:val="24"/>
          <w:highlight w:val="none"/>
          <w:lang w:val="en-US" w:eastAsia="zh-CN"/>
        </w:rPr>
        <w:t>废水排放量</w:t>
      </w:r>
      <w:r>
        <w:rPr>
          <w:rFonts w:hint="eastAsia" w:ascii="Times New Roman" w:hAnsi="Times New Roman" w:eastAsia="宋体" w:cs="Times New Roman"/>
          <w:spacing w:val="-2"/>
          <w:sz w:val="24"/>
          <w:szCs w:val="24"/>
          <w:highlight w:val="none"/>
          <w:lang w:val="en-US" w:eastAsia="en-US"/>
        </w:rPr>
        <w:t>10.95万</w:t>
      </w:r>
      <w:r>
        <w:rPr>
          <w:rFonts w:hint="default" w:ascii="Times New Roman" w:hAnsi="Times New Roman" w:eastAsia="宋体" w:cs="Times New Roman"/>
          <w:spacing w:val="-2"/>
          <w:sz w:val="24"/>
          <w:szCs w:val="24"/>
          <w:highlight w:val="none"/>
          <w:lang w:val="en-US" w:eastAsia="zh-CN"/>
        </w:rPr>
        <w:t>吨/年，</w:t>
      </w:r>
      <w:r>
        <w:rPr>
          <w:rFonts w:hint="eastAsia" w:ascii="Times New Roman" w:hAnsi="Times New Roman" w:eastAsia="宋体" w:cs="Times New Roman"/>
          <w:spacing w:val="-2"/>
          <w:sz w:val="24"/>
          <w:szCs w:val="24"/>
          <w:highlight w:val="none"/>
          <w:lang w:val="en-US" w:eastAsia="zh-CN"/>
        </w:rPr>
        <w:t>污染物</w:t>
      </w:r>
      <w:r>
        <w:rPr>
          <w:rFonts w:hint="default" w:ascii="Times New Roman" w:hAnsi="Times New Roman" w:eastAsia="宋体" w:cs="Times New Roman"/>
          <w:spacing w:val="-2"/>
          <w:sz w:val="24"/>
          <w:szCs w:val="24"/>
          <w:highlight w:val="none"/>
          <w:lang w:val="en-US" w:eastAsia="zh-CN"/>
        </w:rPr>
        <w:t>COD排放量</w:t>
      </w:r>
      <w:r>
        <w:rPr>
          <w:rFonts w:hint="eastAsia" w:ascii="Times New Roman" w:hAnsi="Times New Roman" w:eastAsia="宋体" w:cs="Times New Roman"/>
          <w:spacing w:val="-2"/>
          <w:sz w:val="24"/>
          <w:szCs w:val="24"/>
          <w:highlight w:val="none"/>
          <w:lang w:val="en-US" w:eastAsia="zh-CN"/>
        </w:rPr>
        <w:t>5.48</w:t>
      </w:r>
      <w:r>
        <w:rPr>
          <w:rFonts w:hint="default" w:ascii="Times New Roman" w:hAnsi="Times New Roman" w:eastAsia="宋体" w:cs="Times New Roman"/>
          <w:spacing w:val="-2"/>
          <w:sz w:val="24"/>
          <w:szCs w:val="24"/>
          <w:highlight w:val="none"/>
          <w:lang w:val="en-US" w:eastAsia="zh-CN"/>
        </w:rPr>
        <w:t>吨/年，氨氮</w:t>
      </w:r>
      <w:r>
        <w:rPr>
          <w:rFonts w:hint="eastAsia" w:ascii="Times New Roman" w:hAnsi="Times New Roman" w:eastAsia="宋体" w:cs="Times New Roman"/>
          <w:spacing w:val="-2"/>
          <w:sz w:val="24"/>
          <w:szCs w:val="24"/>
          <w:highlight w:val="none"/>
          <w:lang w:val="en-US" w:eastAsia="zh-CN"/>
        </w:rPr>
        <w:t>排放量0.55</w:t>
      </w:r>
      <w:r>
        <w:rPr>
          <w:rFonts w:hint="default" w:ascii="Times New Roman" w:hAnsi="Times New Roman" w:eastAsia="宋体" w:cs="Times New Roman"/>
          <w:spacing w:val="-2"/>
          <w:sz w:val="24"/>
          <w:szCs w:val="24"/>
          <w:highlight w:val="none"/>
          <w:lang w:val="en-US" w:eastAsia="zh-CN"/>
        </w:rPr>
        <w:t>吨/年</w:t>
      </w:r>
      <w:r>
        <w:rPr>
          <w:rFonts w:hint="eastAsia" w:ascii="Times New Roman" w:hAnsi="Times New Roman" w:eastAsia="宋体" w:cs="Times New Roman"/>
          <w:spacing w:val="-2"/>
          <w:sz w:val="24"/>
          <w:szCs w:val="24"/>
          <w:highlight w:val="none"/>
          <w:lang w:val="en-US" w:eastAsia="zh-CN"/>
        </w:rPr>
        <w:t>；污染物</w:t>
      </w:r>
      <w:r>
        <w:rPr>
          <w:rFonts w:hint="default" w:ascii="Times New Roman" w:hAnsi="Times New Roman" w:eastAsia="宋体" w:cs="Times New Roman"/>
          <w:spacing w:val="-2"/>
          <w:sz w:val="24"/>
          <w:szCs w:val="24"/>
          <w:highlight w:val="none"/>
          <w:lang w:val="en-US" w:eastAsia="zh-CN"/>
        </w:rPr>
        <w:t>COD</w:t>
      </w:r>
      <w:r>
        <w:rPr>
          <w:rFonts w:hint="eastAsia" w:ascii="Times New Roman" w:hAnsi="Times New Roman" w:eastAsia="宋体" w:cs="Times New Roman"/>
          <w:spacing w:val="-2"/>
          <w:sz w:val="24"/>
          <w:szCs w:val="24"/>
          <w:highlight w:val="none"/>
          <w:lang w:val="en-US" w:eastAsia="zh-CN"/>
        </w:rPr>
        <w:t>削减量38.32</w:t>
      </w:r>
      <w:r>
        <w:rPr>
          <w:rFonts w:hint="default" w:ascii="Times New Roman" w:hAnsi="Times New Roman" w:eastAsia="宋体" w:cs="Times New Roman"/>
          <w:spacing w:val="-2"/>
          <w:sz w:val="24"/>
          <w:szCs w:val="24"/>
          <w:highlight w:val="none"/>
          <w:lang w:val="en-US" w:eastAsia="zh-CN"/>
        </w:rPr>
        <w:t>吨/年</w:t>
      </w:r>
      <w:r>
        <w:rPr>
          <w:rFonts w:hint="eastAsia" w:ascii="Times New Roman" w:hAnsi="Times New Roman" w:eastAsia="宋体" w:cs="Times New Roman"/>
          <w:spacing w:val="-2"/>
          <w:sz w:val="24"/>
          <w:szCs w:val="24"/>
          <w:highlight w:val="none"/>
          <w:lang w:val="en-US" w:eastAsia="zh-CN"/>
        </w:rPr>
        <w:t>，污染物氨氮削减量</w:t>
      </w:r>
      <w:bookmarkStart w:id="119" w:name="_GoBack"/>
      <w:bookmarkEnd w:id="119"/>
      <w:r>
        <w:rPr>
          <w:rFonts w:hint="eastAsia" w:ascii="Times New Roman" w:hAnsi="Times New Roman" w:eastAsia="宋体" w:cs="Times New Roman"/>
          <w:spacing w:val="-2"/>
          <w:sz w:val="24"/>
          <w:szCs w:val="24"/>
          <w:highlight w:val="none"/>
          <w:lang w:val="en-US" w:eastAsia="zh-CN"/>
        </w:rPr>
        <w:t>4.38</w:t>
      </w:r>
      <w:r>
        <w:rPr>
          <w:rFonts w:hint="default" w:ascii="Times New Roman" w:hAnsi="Times New Roman" w:eastAsia="宋体" w:cs="Times New Roman"/>
          <w:spacing w:val="-2"/>
          <w:sz w:val="24"/>
          <w:szCs w:val="24"/>
          <w:highlight w:val="none"/>
          <w:lang w:val="en-US" w:eastAsia="zh-CN"/>
        </w:rPr>
        <w:t>吨/年</w:t>
      </w:r>
      <w:r>
        <w:rPr>
          <w:rFonts w:hint="eastAsia" w:ascii="Times New Roman" w:hAnsi="Times New Roman" w:eastAsia="宋体" w:cs="Times New Roman"/>
          <w:spacing w:val="-2"/>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根据对</w:t>
      </w:r>
      <w:r>
        <w:rPr>
          <w:rFonts w:hint="eastAsia" w:ascii="Times New Roman" w:hAnsi="Times New Roman" w:eastAsia="宋体" w:cs="Times New Roman"/>
          <w:kern w:val="2"/>
          <w:sz w:val="24"/>
          <w:szCs w:val="24"/>
          <w:highlight w:val="none"/>
          <w:lang w:val="en-US" w:eastAsia="zh-CN" w:bidi="ar-SA"/>
        </w:rPr>
        <w:t>三河口</w:t>
      </w:r>
      <w:r>
        <w:rPr>
          <w:rFonts w:hint="default" w:ascii="Times New Roman" w:hAnsi="Times New Roman" w:eastAsia="宋体" w:cs="Times New Roman"/>
          <w:kern w:val="2"/>
          <w:sz w:val="24"/>
          <w:szCs w:val="24"/>
          <w:highlight w:val="none"/>
          <w:lang w:val="en-US" w:eastAsia="zh-CN" w:bidi="ar-SA"/>
        </w:rPr>
        <w:t>断面</w:t>
      </w:r>
      <w:r>
        <w:rPr>
          <w:rFonts w:hint="eastAsia" w:ascii="Times New Roman" w:hAnsi="Times New Roman" w:eastAsia="宋体" w:cs="Times New Roman"/>
          <w:kern w:val="2"/>
          <w:sz w:val="24"/>
          <w:szCs w:val="24"/>
          <w:highlight w:val="none"/>
          <w:lang w:val="en-US" w:eastAsia="zh-CN" w:bidi="ar-SA"/>
        </w:rPr>
        <w:t>（双桥河）</w:t>
      </w:r>
      <w:r>
        <w:rPr>
          <w:rFonts w:hint="eastAsia" w:ascii="宋体" w:hAnsi="宋体" w:eastAsia="宋体" w:cs="宋体"/>
          <w:color w:val="auto"/>
          <w:sz w:val="24"/>
          <w:szCs w:val="24"/>
          <w:lang w:val="en-US" w:eastAsia="zh-CN"/>
        </w:rPr>
        <w:t>2022年-2023年的监测数据分析，本项目正式运营前，现状仍满足《地表水环境质量标准》（GB3838-2002）Ⅲ类水质标准对应的浓度值；本项目投入运营后，不仅</w:t>
      </w:r>
      <w:r>
        <w:rPr>
          <w:rFonts w:hint="eastAsia" w:ascii="Times New Roman" w:hAnsi="Times New Roman" w:eastAsia="宋体" w:cs="Times New Roman"/>
          <w:spacing w:val="-2"/>
          <w:sz w:val="24"/>
          <w:szCs w:val="24"/>
          <w:highlight w:val="none"/>
          <w:lang w:val="en-US" w:eastAsia="zh-CN"/>
        </w:rPr>
        <w:t>将大力改善</w:t>
      </w:r>
      <w:r>
        <w:rPr>
          <w:rFonts w:hint="eastAsia" w:ascii="宋体" w:hAnsi="宋体" w:eastAsia="宋体" w:cs="宋体"/>
          <w:color w:val="auto"/>
          <w:sz w:val="24"/>
          <w:szCs w:val="24"/>
          <w:lang w:val="en-US" w:eastAsia="zh-CN"/>
        </w:rPr>
        <w:t>桐峪河现状水质级别及项目所涉及区域的周边自然环境，更能改善下游</w:t>
      </w:r>
      <w:r>
        <w:rPr>
          <w:rFonts w:hint="eastAsia" w:ascii="Times New Roman" w:hAnsi="Times New Roman" w:eastAsia="宋体" w:cs="Times New Roman"/>
          <w:kern w:val="2"/>
          <w:sz w:val="24"/>
          <w:szCs w:val="24"/>
          <w:highlight w:val="none"/>
          <w:lang w:val="en-US" w:eastAsia="zh-CN" w:bidi="ar-SA"/>
        </w:rPr>
        <w:t>三河口</w:t>
      </w:r>
      <w:r>
        <w:rPr>
          <w:rFonts w:hint="default" w:ascii="Times New Roman" w:hAnsi="Times New Roman" w:eastAsia="宋体" w:cs="Times New Roman"/>
          <w:kern w:val="2"/>
          <w:sz w:val="24"/>
          <w:szCs w:val="24"/>
          <w:highlight w:val="none"/>
          <w:lang w:val="en-US" w:eastAsia="zh-CN" w:bidi="ar-SA"/>
        </w:rPr>
        <w:t>断面</w:t>
      </w:r>
      <w:r>
        <w:rPr>
          <w:rFonts w:hint="eastAsia" w:ascii="Times New Roman" w:hAnsi="Times New Roman" w:eastAsia="宋体" w:cs="Times New Roman"/>
          <w:kern w:val="2"/>
          <w:sz w:val="24"/>
          <w:szCs w:val="24"/>
          <w:highlight w:val="none"/>
          <w:lang w:val="en-US" w:eastAsia="zh-CN" w:bidi="ar-SA"/>
        </w:rPr>
        <w:t>（双桥河）水质情况。因此</w:t>
      </w:r>
      <w:r>
        <w:rPr>
          <w:rFonts w:hint="eastAsia" w:ascii="宋体" w:hAnsi="宋体" w:eastAsia="宋体" w:cs="宋体"/>
          <w:color w:val="auto"/>
          <w:sz w:val="24"/>
          <w:szCs w:val="24"/>
          <w:lang w:val="en-US" w:eastAsia="zh-CN"/>
        </w:rPr>
        <w:t>说明本项目排污口设置合理。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综上所述，本项目处理达标后的废水排入</w:t>
      </w:r>
      <w:r>
        <w:rPr>
          <w:rFonts w:hint="eastAsia" w:ascii="宋体" w:hAnsi="宋体" w:eastAsia="宋体" w:cs="宋体"/>
          <w:sz w:val="24"/>
          <w:szCs w:val="24"/>
          <w:lang w:val="en-US" w:eastAsia="zh-CN"/>
        </w:rPr>
        <w:t>桐峪</w:t>
      </w:r>
      <w:r>
        <w:rPr>
          <w:rFonts w:hint="default" w:ascii="宋体" w:hAnsi="宋体" w:eastAsia="宋体" w:cs="宋体"/>
          <w:sz w:val="24"/>
          <w:szCs w:val="24"/>
          <w:lang w:val="en-US" w:eastAsia="zh-CN"/>
        </w:rPr>
        <w:t>河，对</w:t>
      </w:r>
      <w:r>
        <w:rPr>
          <w:rFonts w:hint="eastAsia" w:ascii="宋体" w:hAnsi="宋体" w:eastAsia="宋体" w:cs="宋体"/>
          <w:sz w:val="24"/>
          <w:szCs w:val="24"/>
          <w:lang w:val="en-US" w:eastAsia="zh-CN"/>
        </w:rPr>
        <w:t>桐峪</w:t>
      </w:r>
      <w:r>
        <w:rPr>
          <w:rFonts w:hint="default" w:ascii="宋体" w:hAnsi="宋体" w:eastAsia="宋体" w:cs="宋体"/>
          <w:sz w:val="24"/>
          <w:szCs w:val="24"/>
          <w:lang w:val="en-US" w:eastAsia="zh-CN"/>
        </w:rPr>
        <w:t>河的影响轻微，事故排放会影响</w:t>
      </w:r>
      <w:r>
        <w:rPr>
          <w:rFonts w:hint="eastAsia" w:ascii="宋体" w:hAnsi="宋体" w:eastAsia="宋体" w:cs="宋体"/>
          <w:sz w:val="24"/>
          <w:szCs w:val="24"/>
          <w:lang w:val="en-US" w:eastAsia="zh-CN"/>
        </w:rPr>
        <w:t>桐峪</w:t>
      </w:r>
      <w:r>
        <w:rPr>
          <w:rFonts w:hint="default" w:ascii="宋体" w:hAnsi="宋体" w:eastAsia="宋体" w:cs="宋体"/>
          <w:sz w:val="24"/>
          <w:szCs w:val="24"/>
          <w:lang w:val="en-US" w:eastAsia="zh-CN"/>
        </w:rPr>
        <w:t>河的水生态环境，因此建设单位应做好事故防范措施，避免事故排放影响</w:t>
      </w:r>
      <w:r>
        <w:rPr>
          <w:rFonts w:hint="eastAsia" w:ascii="宋体" w:hAnsi="宋体" w:eastAsia="宋体" w:cs="宋体"/>
          <w:sz w:val="24"/>
          <w:szCs w:val="24"/>
          <w:lang w:val="en-US" w:eastAsia="zh-CN"/>
        </w:rPr>
        <w:t>桐峪</w:t>
      </w:r>
      <w:r>
        <w:rPr>
          <w:rFonts w:hint="default" w:ascii="宋体" w:hAnsi="宋体" w:eastAsia="宋体" w:cs="宋体"/>
          <w:sz w:val="24"/>
          <w:szCs w:val="24"/>
          <w:lang w:val="en-US" w:eastAsia="zh-CN"/>
        </w:rPr>
        <w:t>河的水环境。</w:t>
      </w:r>
    </w:p>
    <w:p>
      <w:pPr>
        <w:pStyle w:val="3"/>
        <w:bidi w:val="0"/>
        <w:ind w:left="0" w:leftChars="0" w:firstLine="0" w:firstLineChars="0"/>
        <w:rPr>
          <w:rFonts w:hint="default"/>
          <w:color w:val="auto"/>
        </w:rPr>
      </w:pPr>
      <w:bookmarkStart w:id="96" w:name="_Toc19545"/>
      <w:bookmarkStart w:id="97" w:name="_Toc23772"/>
      <w:r>
        <w:rPr>
          <w:rFonts w:hint="eastAsia"/>
          <w:color w:val="auto"/>
          <w:lang w:eastAsia="zh-CN"/>
        </w:rPr>
        <w:t>对水生态的影响分析</w:t>
      </w:r>
      <w:bookmarkEnd w:id="96"/>
      <w:bookmarkEnd w:id="9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入河排污口设置运行后，不仅对河道水质会有可能的影响，而且对于河道水生态、水体功能都会产生潜在的影响。根据要求并结合区域管理特点，本项目对水生态的影响分析从</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个方面展开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对生态水量的影响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对水体功能的综合影响。</w:t>
      </w:r>
    </w:p>
    <w:p>
      <w:pPr>
        <w:pStyle w:val="4"/>
        <w:bidi w:val="0"/>
        <w:ind w:left="0" w:leftChars="0" w:firstLine="0" w:firstLineChars="0"/>
        <w:rPr>
          <w:rFonts w:hint="default"/>
          <w:color w:val="auto"/>
          <w:lang w:eastAsia="zh-CN"/>
        </w:rPr>
      </w:pPr>
      <w:bookmarkStart w:id="98" w:name="_Toc22917"/>
      <w:r>
        <w:rPr>
          <w:rFonts w:hint="default"/>
          <w:color w:val="auto"/>
          <w:lang w:eastAsia="zh-CN"/>
        </w:rPr>
        <w:t>生态流量分析</w:t>
      </w:r>
      <w:bookmarkEnd w:id="9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河道水域内的生态流量是表征河道水系统生态功能的重要指标，只有满足河道最低的生态流量，河道内生态系统及其内部的各种生物体才能实现基本的生态稳定和维系。通过对水域生态流量的分析，可以部分反映对水域生态功能的影响状况。河流生态基础流量是维持河道功能不退化、特征水生生物物种能正常繁衍生息所必须维持的河道最小流量。</w:t>
      </w:r>
      <w:r>
        <w:rPr>
          <w:rFonts w:hint="eastAsia" w:ascii="宋体" w:hAnsi="宋体" w:eastAsia="宋体" w:cs="宋体"/>
          <w:sz w:val="24"/>
          <w:szCs w:val="24"/>
          <w:lang w:eastAsia="zh-CN"/>
        </w:rPr>
        <w:t>潼关县桐峪镇污水处理站</w:t>
      </w:r>
      <w:r>
        <w:rPr>
          <w:rFonts w:hint="eastAsia" w:ascii="宋体" w:hAnsi="宋体" w:eastAsia="宋体" w:cs="宋体"/>
          <w:sz w:val="24"/>
          <w:szCs w:val="24"/>
        </w:rPr>
        <w:t>项目</w:t>
      </w:r>
      <w:r>
        <w:rPr>
          <w:rFonts w:hint="eastAsia" w:ascii="宋体" w:hAnsi="宋体" w:eastAsia="宋体" w:cs="宋体"/>
          <w:sz w:val="24"/>
          <w:szCs w:val="24"/>
          <w:lang w:eastAsia="zh-CN"/>
        </w:rPr>
        <w:t>污水处理站</w:t>
      </w:r>
      <w:r>
        <w:rPr>
          <w:rFonts w:hint="eastAsia" w:ascii="宋体" w:hAnsi="宋体" w:eastAsia="宋体" w:cs="宋体"/>
          <w:sz w:val="24"/>
          <w:szCs w:val="24"/>
        </w:rPr>
        <w:t>处理站</w:t>
      </w:r>
      <w:r>
        <w:rPr>
          <w:rFonts w:hint="eastAsia" w:ascii="宋体" w:hAnsi="宋体" w:eastAsia="宋体" w:cs="宋体"/>
          <w:color w:val="auto"/>
          <w:sz w:val="24"/>
          <w:szCs w:val="24"/>
          <w:lang w:eastAsia="zh-CN"/>
        </w:rPr>
        <w:t>建成后，</w:t>
      </w:r>
      <w:r>
        <w:rPr>
          <w:rFonts w:hint="eastAsia" w:ascii="宋体" w:hAnsi="宋体" w:eastAsia="宋体" w:cs="宋体"/>
          <w:color w:val="auto"/>
          <w:sz w:val="24"/>
          <w:szCs w:val="24"/>
          <w:lang w:val="en-US" w:eastAsia="zh-CN"/>
        </w:rPr>
        <w:t>日排放量300吨水</w:t>
      </w:r>
      <w:r>
        <w:rPr>
          <w:rFonts w:hint="eastAsia" w:ascii="宋体" w:hAnsi="宋体" w:eastAsia="宋体" w:cs="宋体"/>
          <w:color w:val="auto"/>
          <w:sz w:val="24"/>
          <w:szCs w:val="24"/>
        </w:rPr>
        <w:t>增加了河道的生态流量</w:t>
      </w:r>
      <w:r>
        <w:rPr>
          <w:rFonts w:hint="eastAsia" w:ascii="宋体" w:hAnsi="宋体" w:eastAsia="宋体" w:cs="宋体"/>
          <w:color w:val="auto"/>
          <w:sz w:val="24"/>
          <w:szCs w:val="24"/>
          <w:lang w:eastAsia="zh-CN"/>
        </w:rPr>
        <w:t>，对维系基本的河道生态有积极的作用。</w:t>
      </w:r>
    </w:p>
    <w:p>
      <w:pPr>
        <w:pStyle w:val="4"/>
        <w:bidi w:val="0"/>
        <w:ind w:left="0" w:leftChars="0" w:firstLine="0" w:firstLineChars="0"/>
        <w:rPr>
          <w:rFonts w:hint="default"/>
          <w:color w:val="auto"/>
          <w:lang w:eastAsia="zh-CN"/>
        </w:rPr>
      </w:pPr>
      <w:bookmarkStart w:id="99" w:name="_Toc23768"/>
      <w:r>
        <w:rPr>
          <w:rFonts w:hint="default"/>
          <w:color w:val="auto"/>
          <w:lang w:eastAsia="zh-CN"/>
        </w:rPr>
        <w:t>水域功能综合影响分析</w:t>
      </w:r>
      <w:bookmarkEnd w:id="9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eastAsia="zh-CN"/>
        </w:rPr>
      </w:pPr>
      <w:r>
        <w:rPr>
          <w:rFonts w:hint="eastAsia" w:ascii="宋体" w:hAnsi="宋体" w:eastAsia="宋体" w:cs="宋体"/>
          <w:color w:val="auto"/>
          <w:sz w:val="24"/>
          <w:szCs w:val="24"/>
          <w:lang w:eastAsia="zh-CN"/>
        </w:rPr>
        <w:t>潼关县桐峪镇污水处理站</w:t>
      </w:r>
      <w:r>
        <w:rPr>
          <w:rFonts w:hint="default" w:ascii="宋体" w:hAnsi="宋体" w:eastAsia="宋体" w:cs="宋体"/>
          <w:color w:val="auto"/>
          <w:sz w:val="24"/>
          <w:szCs w:val="24"/>
          <w:lang w:eastAsia="zh-CN"/>
        </w:rPr>
        <w:t>项目随着污水处理站的正常运行，处理站将</w:t>
      </w:r>
      <w:r>
        <w:rPr>
          <w:rFonts w:hint="eastAsia" w:ascii="宋体" w:hAnsi="宋体" w:eastAsia="宋体" w:cs="宋体"/>
          <w:color w:val="auto"/>
          <w:sz w:val="24"/>
          <w:szCs w:val="24"/>
          <w:lang w:val="en-US" w:eastAsia="zh-CN"/>
        </w:rPr>
        <w:t>生活污水</w:t>
      </w:r>
      <w:r>
        <w:rPr>
          <w:rFonts w:hint="default" w:ascii="宋体" w:hAnsi="宋体" w:eastAsia="宋体" w:cs="宋体"/>
          <w:color w:val="auto"/>
          <w:sz w:val="24"/>
          <w:szCs w:val="24"/>
          <w:lang w:eastAsia="zh-CN"/>
        </w:rPr>
        <w:t>经过处理后集中排入河道，虽然增加了河流的污染物量，但</w:t>
      </w:r>
      <w:r>
        <w:rPr>
          <w:rFonts w:hint="default" w:ascii="宋体" w:hAnsi="宋体" w:eastAsia="宋体" w:cs="宋体"/>
          <w:color w:val="auto"/>
          <w:sz w:val="24"/>
          <w:szCs w:val="24"/>
          <w:lang w:val="en-US" w:eastAsia="zh-CN"/>
        </w:rPr>
        <w:t>尾水满足《地表水环境质量标准》（GB3838-2002）Ⅲ类水质标准，</w:t>
      </w:r>
      <w:r>
        <w:rPr>
          <w:rFonts w:hint="default" w:ascii="宋体" w:hAnsi="宋体" w:eastAsia="宋体" w:cs="宋体"/>
          <w:color w:val="auto"/>
          <w:sz w:val="24"/>
          <w:szCs w:val="24"/>
          <w:lang w:eastAsia="zh-CN"/>
        </w:rPr>
        <w:t>对河道水质</w:t>
      </w:r>
      <w:r>
        <w:rPr>
          <w:rFonts w:hint="default" w:ascii="宋体" w:hAnsi="宋体" w:eastAsia="宋体" w:cs="宋体"/>
          <w:color w:val="auto"/>
          <w:sz w:val="24"/>
          <w:szCs w:val="24"/>
          <w:lang w:val="en-US" w:eastAsia="zh-CN"/>
        </w:rPr>
        <w:t>没有影响</w:t>
      </w:r>
      <w:r>
        <w:rPr>
          <w:rFonts w:hint="default" w:ascii="宋体" w:hAnsi="宋体" w:eastAsia="宋体" w:cs="宋体"/>
          <w:color w:val="auto"/>
          <w:sz w:val="24"/>
          <w:szCs w:val="24"/>
          <w:lang w:eastAsia="zh-CN"/>
        </w:rPr>
        <w:t>。该排污口建设后增加了河道的生态流量，对促进地方农业发展有一定的积极意义。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eastAsia="zh-CN"/>
        </w:rPr>
      </w:pPr>
      <w:r>
        <w:rPr>
          <w:rFonts w:hint="default" w:ascii="宋体" w:hAnsi="宋体" w:eastAsia="宋体" w:cs="宋体"/>
          <w:color w:val="auto"/>
          <w:sz w:val="24"/>
          <w:szCs w:val="24"/>
          <w:lang w:eastAsia="zh-CN"/>
        </w:rPr>
        <w:t>综合对水域生态流量、水温及水域功能的影响分析，入河排污口设置后，对河道水温没有影响较小。另一方面，虽然增加了河道污染物，但能增加河道生态流量，促进河流排水功能。因此，入河排污口设置对水域水生态影响很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可以明显改善下游水质情况</w:t>
      </w:r>
      <w:r>
        <w:rPr>
          <w:rFonts w:hint="default" w:ascii="宋体" w:hAnsi="宋体" w:eastAsia="宋体" w:cs="宋体"/>
          <w:color w:val="auto"/>
          <w:sz w:val="24"/>
          <w:szCs w:val="24"/>
          <w:lang w:eastAsia="zh-CN"/>
        </w:rPr>
        <w:t>。</w:t>
      </w:r>
    </w:p>
    <w:p>
      <w:pPr>
        <w:pStyle w:val="3"/>
        <w:bidi w:val="0"/>
        <w:ind w:left="0" w:leftChars="0" w:firstLine="0" w:firstLineChars="0"/>
        <w:rPr>
          <w:rFonts w:hint="default"/>
          <w:color w:val="auto"/>
          <w:lang w:eastAsia="zh-CN"/>
        </w:rPr>
      </w:pPr>
      <w:bookmarkStart w:id="100" w:name="5.4.对水生态的影响分析"/>
      <w:bookmarkEnd w:id="100"/>
      <w:bookmarkStart w:id="101" w:name="_bookmark25"/>
      <w:bookmarkEnd w:id="101"/>
      <w:bookmarkStart w:id="102" w:name="_Toc20553"/>
      <w:bookmarkStart w:id="103" w:name="_Toc15549"/>
      <w:r>
        <w:rPr>
          <w:rFonts w:hint="default"/>
          <w:color w:val="auto"/>
          <w:lang w:eastAsia="zh-CN"/>
        </w:rPr>
        <w:t>对水生态的影响分析</w:t>
      </w:r>
      <w:bookmarkEnd w:id="102"/>
      <w:bookmarkEnd w:id="103"/>
    </w:p>
    <w:p>
      <w:pPr>
        <w:pStyle w:val="4"/>
        <w:pageBreakBefore w:val="0"/>
        <w:widowControl w:val="0"/>
        <w:tabs>
          <w:tab w:val="left" w:pos="955"/>
          <w:tab w:val="clear" w:pos="420"/>
        </w:tabs>
        <w:kinsoku/>
        <w:wordWrap/>
        <w:overflowPunct/>
        <w:topLinePunct w:val="0"/>
        <w:autoSpaceDE/>
        <w:autoSpaceDN/>
        <w:bidi w:val="0"/>
        <w:adjustRightInd/>
        <w:snapToGrid/>
        <w:spacing w:before="0" w:after="0" w:line="520" w:lineRule="exact"/>
        <w:ind w:right="0"/>
        <w:jc w:val="left"/>
        <w:textAlignment w:val="auto"/>
        <w:rPr>
          <w:rFonts w:hint="default" w:ascii="Times New Roman" w:hAnsi="Times New Roman" w:eastAsia="宋体" w:cs="Times New Roman"/>
          <w:b w:val="0"/>
          <w:bCs w:val="0"/>
          <w:sz w:val="24"/>
          <w:szCs w:val="24"/>
          <w:highlight w:val="none"/>
        </w:rPr>
      </w:pPr>
      <w:bookmarkStart w:id="104" w:name="5.4.1.水生生物及鱼类资源现状"/>
      <w:bookmarkEnd w:id="104"/>
      <w:bookmarkStart w:id="105" w:name="5.4.2.项目对水生生物的影响分析"/>
      <w:bookmarkEnd w:id="105"/>
      <w:r>
        <w:rPr>
          <w:rFonts w:hint="default" w:ascii="Times New Roman" w:hAnsi="Times New Roman" w:eastAsia="宋体" w:cs="Times New Roman"/>
          <w:spacing w:val="-1"/>
          <w:sz w:val="24"/>
          <w:szCs w:val="24"/>
          <w:highlight w:val="none"/>
        </w:rPr>
        <w:t>项目对水生</w:t>
      </w:r>
      <w:r>
        <w:rPr>
          <w:rFonts w:hint="eastAsia" w:ascii="Times New Roman" w:hAnsi="Times New Roman" w:eastAsia="宋体" w:cs="Times New Roman"/>
          <w:spacing w:val="-1"/>
          <w:sz w:val="24"/>
          <w:szCs w:val="24"/>
          <w:highlight w:val="none"/>
          <w:lang w:val="en-US" w:eastAsia="zh-CN"/>
        </w:rPr>
        <w:t>植物</w:t>
      </w:r>
      <w:r>
        <w:rPr>
          <w:rFonts w:hint="default" w:ascii="Times New Roman" w:hAnsi="Times New Roman" w:eastAsia="宋体" w:cs="Times New Roman"/>
          <w:spacing w:val="-1"/>
          <w:sz w:val="24"/>
          <w:szCs w:val="24"/>
          <w:highlight w:val="none"/>
        </w:rPr>
        <w:t>的影响分析</w:t>
      </w:r>
    </w:p>
    <w:p>
      <w:pPr>
        <w:pStyle w:val="7"/>
        <w:pageBreakBefore w:val="0"/>
        <w:widowControl w:val="0"/>
        <w:kinsoku/>
        <w:wordWrap/>
        <w:overflowPunct/>
        <w:topLinePunct w:val="0"/>
        <w:autoSpaceDE/>
        <w:autoSpaceDN/>
        <w:bidi w:val="0"/>
        <w:adjustRightInd/>
        <w:snapToGrid/>
        <w:spacing w:after="0" w:line="520" w:lineRule="exact"/>
        <w:ind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项目在枯水期正常排放情况下，</w:t>
      </w:r>
      <w:r>
        <w:rPr>
          <w:rFonts w:hint="eastAsia" w:ascii="Times New Roman" w:hAnsi="Times New Roman" w:eastAsia="宋体" w:cs="Times New Roman"/>
          <w:sz w:val="24"/>
          <w:szCs w:val="24"/>
          <w:highlight w:val="none"/>
          <w:lang w:val="en-US" w:eastAsia="zh-CN"/>
        </w:rPr>
        <w:t>对河流内水生植物缓解干旱，降低风沙扬尘作用，</w:t>
      </w:r>
      <w:r>
        <w:rPr>
          <w:rFonts w:hint="default" w:ascii="Times New Roman" w:hAnsi="Times New Roman" w:eastAsia="宋体" w:cs="Times New Roman"/>
          <w:sz w:val="24"/>
          <w:szCs w:val="24"/>
          <w:highlight w:val="none"/>
        </w:rPr>
        <w:t>排放</w:t>
      </w:r>
      <w:r>
        <w:rPr>
          <w:rFonts w:hint="eastAsia" w:ascii="Times New Roman" w:hAnsi="Times New Roman" w:eastAsia="宋体" w:cs="Times New Roman"/>
          <w:sz w:val="24"/>
          <w:szCs w:val="24"/>
          <w:highlight w:val="none"/>
          <w:lang w:val="en-US" w:eastAsia="zh-CN"/>
        </w:rPr>
        <w:t>废</w:t>
      </w:r>
      <w:r>
        <w:rPr>
          <w:rFonts w:hint="default" w:ascii="Times New Roman" w:hAnsi="Times New Roman" w:eastAsia="宋体" w:cs="Times New Roman"/>
          <w:sz w:val="24"/>
          <w:szCs w:val="24"/>
          <w:highlight w:val="none"/>
        </w:rPr>
        <w:t>水和</w:t>
      </w:r>
      <w:r>
        <w:rPr>
          <w:rFonts w:hint="eastAsia" w:ascii="Times New Roman" w:hAnsi="Times New Roman" w:eastAsia="宋体" w:cs="Times New Roman"/>
          <w:sz w:val="24"/>
          <w:szCs w:val="24"/>
          <w:highlight w:val="none"/>
          <w:lang w:val="en-US" w:eastAsia="zh-CN"/>
        </w:rPr>
        <w:t>双桥河</w:t>
      </w:r>
      <w:r>
        <w:rPr>
          <w:rFonts w:hint="default" w:ascii="Times New Roman" w:hAnsi="Times New Roman" w:eastAsia="宋体" w:cs="Times New Roman"/>
          <w:sz w:val="24"/>
          <w:szCs w:val="24"/>
          <w:highlight w:val="none"/>
        </w:rPr>
        <w:t>水质混合前后，水质均可达地表水</w:t>
      </w:r>
      <w:r>
        <w:rPr>
          <w:rFonts w:hint="eastAsia" w:ascii="宋体" w:hAnsi="宋体" w:eastAsia="宋体" w:cs="宋体"/>
          <w:sz w:val="24"/>
          <w:szCs w:val="24"/>
          <w:highlight w:val="none"/>
        </w:rPr>
        <w:t>Ⅲ</w:t>
      </w:r>
      <w:r>
        <w:rPr>
          <w:rFonts w:hint="default" w:ascii="Times New Roman" w:hAnsi="Times New Roman" w:eastAsia="宋体" w:cs="Times New Roman"/>
          <w:sz w:val="24"/>
          <w:szCs w:val="24"/>
          <w:highlight w:val="none"/>
        </w:rPr>
        <w:t>类标准，符合</w:t>
      </w:r>
      <w:r>
        <w:rPr>
          <w:rFonts w:hint="eastAsia" w:ascii="Times New Roman" w:hAnsi="Times New Roman" w:eastAsia="宋体" w:cs="Times New Roman"/>
          <w:sz w:val="24"/>
          <w:szCs w:val="24"/>
          <w:highlight w:val="none"/>
          <w:lang w:val="en-US" w:eastAsia="zh-CN"/>
        </w:rPr>
        <w:t>豫陕缓冲区</w:t>
      </w:r>
      <w:r>
        <w:rPr>
          <w:rFonts w:hint="default" w:ascii="Times New Roman" w:hAnsi="Times New Roman" w:eastAsia="宋体" w:cs="Times New Roman"/>
          <w:sz w:val="24"/>
          <w:szCs w:val="24"/>
          <w:highlight w:val="none"/>
        </w:rPr>
        <w:t>水质管控目标</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因此，</w:t>
      </w:r>
      <w:r>
        <w:rPr>
          <w:rFonts w:hint="eastAsia" w:ascii="Times New Roman" w:hAnsi="Times New Roman" w:eastAsia="宋体" w:cs="Times New Roman"/>
          <w:sz w:val="24"/>
          <w:szCs w:val="24"/>
          <w:highlight w:val="none"/>
          <w:lang w:val="en-US" w:eastAsia="zh-CN"/>
        </w:rPr>
        <w:t>项目</w:t>
      </w:r>
      <w:r>
        <w:rPr>
          <w:rFonts w:hint="default" w:ascii="Times New Roman" w:hAnsi="Times New Roman" w:eastAsia="宋体" w:cs="Times New Roman"/>
          <w:sz w:val="24"/>
          <w:szCs w:val="24"/>
          <w:highlight w:val="none"/>
        </w:rPr>
        <w:t>运行期间，正常工况下</w:t>
      </w:r>
      <w:r>
        <w:rPr>
          <w:rFonts w:hint="eastAsia" w:ascii="Times New Roman" w:hAnsi="Times New Roman" w:eastAsia="宋体" w:cs="Times New Roman"/>
          <w:sz w:val="24"/>
          <w:szCs w:val="24"/>
          <w:highlight w:val="none"/>
          <w:lang w:val="en-US" w:eastAsia="zh-CN"/>
        </w:rPr>
        <w:t>废</w:t>
      </w:r>
      <w:r>
        <w:rPr>
          <w:rFonts w:hint="default" w:ascii="Times New Roman" w:hAnsi="Times New Roman" w:eastAsia="宋体" w:cs="Times New Roman"/>
          <w:sz w:val="24"/>
          <w:szCs w:val="24"/>
          <w:highlight w:val="none"/>
        </w:rPr>
        <w:t>水排放对排污口下游生态环境的影响很小。本项目不从河道取水，不会影响河道生态水，不阻隔河道，对河道水文情势无明显影响，不会对河流的生态水、泥沙情势有根本性的影响，基本上不改变</w:t>
      </w:r>
      <w:r>
        <w:rPr>
          <w:rFonts w:hint="eastAsia" w:ascii="Times New Roman" w:hAnsi="Times New Roman" w:eastAsia="宋体" w:cs="Times New Roman"/>
          <w:sz w:val="24"/>
          <w:szCs w:val="24"/>
          <w:highlight w:val="none"/>
          <w:lang w:val="en-US" w:eastAsia="zh-CN"/>
        </w:rPr>
        <w:t>河道内水生植物</w:t>
      </w:r>
      <w:r>
        <w:rPr>
          <w:rFonts w:hint="default" w:ascii="Times New Roman" w:hAnsi="Times New Roman" w:eastAsia="宋体" w:cs="Times New Roman"/>
          <w:sz w:val="24"/>
          <w:szCs w:val="24"/>
          <w:highlight w:val="none"/>
        </w:rPr>
        <w:t>生存</w:t>
      </w:r>
      <w:r>
        <w:rPr>
          <w:rFonts w:hint="default" w:ascii="Times New Roman" w:hAnsi="Times New Roman" w:eastAsia="宋体" w:cs="Times New Roman"/>
          <w:spacing w:val="-5"/>
          <w:sz w:val="24"/>
          <w:szCs w:val="24"/>
          <w:highlight w:val="none"/>
        </w:rPr>
        <w:t>环境</w:t>
      </w:r>
      <w:r>
        <w:rPr>
          <w:rFonts w:hint="eastAsia" w:ascii="Times New Roman" w:hAnsi="Times New Roman" w:eastAsia="宋体" w:cs="Times New Roman"/>
          <w:spacing w:val="-5"/>
          <w:sz w:val="24"/>
          <w:szCs w:val="24"/>
          <w:highlight w:val="none"/>
          <w:lang w:val="en-US" w:eastAsia="zh-CN"/>
        </w:rPr>
        <w:t>造成</w:t>
      </w:r>
      <w:r>
        <w:rPr>
          <w:rFonts w:hint="default" w:ascii="Times New Roman" w:hAnsi="Times New Roman" w:eastAsia="宋体" w:cs="Times New Roman"/>
          <w:spacing w:val="-5"/>
          <w:sz w:val="24"/>
          <w:szCs w:val="24"/>
          <w:highlight w:val="none"/>
        </w:rPr>
        <w:t>不利影响。</w:t>
      </w:r>
    </w:p>
    <w:p>
      <w:pPr>
        <w:pStyle w:val="4"/>
        <w:pageBreakBefore w:val="0"/>
        <w:widowControl w:val="0"/>
        <w:tabs>
          <w:tab w:val="left" w:pos="955"/>
          <w:tab w:val="clear" w:pos="420"/>
        </w:tabs>
        <w:kinsoku/>
        <w:wordWrap/>
        <w:overflowPunct/>
        <w:topLinePunct w:val="0"/>
        <w:autoSpaceDE/>
        <w:autoSpaceDN/>
        <w:bidi w:val="0"/>
        <w:adjustRightInd/>
        <w:snapToGrid/>
        <w:spacing w:before="0" w:after="0" w:line="520" w:lineRule="exact"/>
        <w:ind w:right="0"/>
        <w:jc w:val="left"/>
        <w:textAlignment w:val="auto"/>
        <w:rPr>
          <w:rFonts w:hint="default" w:ascii="Times New Roman" w:hAnsi="Times New Roman" w:eastAsia="宋体" w:cs="Times New Roman"/>
          <w:spacing w:val="-1"/>
          <w:sz w:val="24"/>
          <w:szCs w:val="24"/>
          <w:highlight w:val="none"/>
        </w:rPr>
      </w:pPr>
      <w:bookmarkStart w:id="106" w:name="_bookmark26"/>
      <w:bookmarkEnd w:id="106"/>
      <w:bookmarkStart w:id="107" w:name="5.5.对地下水影响的分析"/>
      <w:bookmarkEnd w:id="107"/>
      <w:bookmarkStart w:id="108" w:name="_Toc18634"/>
      <w:r>
        <w:rPr>
          <w:rFonts w:hint="default" w:ascii="Times New Roman" w:hAnsi="Times New Roman" w:eastAsia="宋体" w:cs="Times New Roman"/>
          <w:spacing w:val="-1"/>
          <w:sz w:val="24"/>
          <w:szCs w:val="24"/>
          <w:highlight w:val="none"/>
        </w:rPr>
        <w:t>对地下水影响的分析</w:t>
      </w:r>
      <w:bookmarkEnd w:id="108"/>
    </w:p>
    <w:p>
      <w:pPr>
        <w:pStyle w:val="7"/>
        <w:keepNext w:val="0"/>
        <w:keepLines w:val="0"/>
        <w:pageBreakBefore w:val="0"/>
        <w:widowControl w:val="0"/>
        <w:kinsoku/>
        <w:wordWrap/>
        <w:overflowPunct/>
        <w:topLinePunct w:val="0"/>
        <w:autoSpaceDE/>
        <w:autoSpaceDN/>
        <w:bidi w:val="0"/>
        <w:adjustRightInd/>
        <w:snapToGrid/>
        <w:spacing w:after="0" w:line="520" w:lineRule="exact"/>
        <w:ind w:right="0" w:firstLine="480" w:firstLineChars="200"/>
        <w:jc w:val="left"/>
        <w:textAlignment w:val="auto"/>
        <w:rPr>
          <w:rFonts w:hint="default" w:ascii="Times New Roman" w:hAnsi="Times New Roman" w:eastAsia="宋体" w:cs="Times New Roman"/>
          <w:highlight w:val="none"/>
        </w:rPr>
      </w:pPr>
      <w:r>
        <w:rPr>
          <w:rFonts w:hint="eastAsia" w:ascii="Times New Roman" w:hAnsi="Times New Roman" w:eastAsia="宋体" w:cs="Times New Roman"/>
          <w:sz w:val="24"/>
          <w:szCs w:val="24"/>
          <w:highlight w:val="none"/>
          <w:lang w:val="en-US" w:eastAsia="zh-CN"/>
        </w:rPr>
        <w:t>相较于居民生活污水未经处理直排入河流的情况对地下水造成的影响，</w:t>
      </w:r>
      <w:r>
        <w:rPr>
          <w:rFonts w:hint="default" w:ascii="Times New Roman" w:hAnsi="Times New Roman" w:eastAsia="宋体" w:cs="Times New Roman"/>
          <w:spacing w:val="2"/>
          <w:sz w:val="24"/>
          <w:szCs w:val="24"/>
          <w:highlight w:val="none"/>
        </w:rPr>
        <w:t>本项目</w:t>
      </w:r>
      <w:r>
        <w:rPr>
          <w:rFonts w:hint="eastAsia" w:ascii="Times New Roman" w:hAnsi="Times New Roman" w:eastAsia="宋体" w:cs="Times New Roman"/>
          <w:spacing w:val="2"/>
          <w:sz w:val="24"/>
          <w:szCs w:val="24"/>
          <w:highlight w:val="none"/>
          <w:lang w:val="en-US" w:eastAsia="zh-CN"/>
        </w:rPr>
        <w:t>污水处理厂运行期间，将有效改善周边区域地下水环境。项目涉及区域内居民生活污水经</w:t>
      </w:r>
      <w:r>
        <w:rPr>
          <w:rFonts w:hint="default" w:ascii="Times New Roman" w:hAnsi="Times New Roman" w:eastAsia="宋体" w:cs="Times New Roman"/>
          <w:sz w:val="24"/>
          <w:szCs w:val="24"/>
          <w:highlight w:val="none"/>
        </w:rPr>
        <w:t>DN</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00</w:t>
      </w:r>
      <w:r>
        <w:rPr>
          <w:rFonts w:hint="eastAsia" w:ascii="Times New Roman" w:hAnsi="Times New Roman" w:eastAsia="宋体" w:cs="Times New Roman"/>
          <w:sz w:val="24"/>
          <w:szCs w:val="24"/>
          <w:highlight w:val="none"/>
          <w:lang w:val="en-US" w:eastAsia="zh-CN"/>
        </w:rPr>
        <w:t>-300</w:t>
      </w:r>
      <w:r>
        <w:rPr>
          <w:rFonts w:hint="eastAsia" w:ascii="Times New Roman" w:hAnsi="Times New Roman" w:eastAsia="宋体" w:cs="Times New Roman"/>
          <w:spacing w:val="2"/>
          <w:sz w:val="24"/>
          <w:szCs w:val="24"/>
          <w:highlight w:val="none"/>
          <w:lang w:val="en-US" w:eastAsia="zh-CN"/>
        </w:rPr>
        <w:t>波纹</w:t>
      </w:r>
      <w:r>
        <w:rPr>
          <w:rFonts w:hint="default" w:ascii="Times New Roman" w:hAnsi="Times New Roman" w:eastAsia="宋体" w:cs="Times New Roman"/>
          <w:spacing w:val="2"/>
          <w:sz w:val="24"/>
          <w:szCs w:val="24"/>
          <w:highlight w:val="none"/>
        </w:rPr>
        <w:t>管道</w:t>
      </w:r>
      <w:r>
        <w:rPr>
          <w:rFonts w:hint="eastAsia" w:ascii="Times New Roman" w:hAnsi="Times New Roman" w:eastAsia="宋体" w:cs="Times New Roman"/>
          <w:spacing w:val="2"/>
          <w:sz w:val="24"/>
          <w:szCs w:val="24"/>
          <w:highlight w:val="none"/>
          <w:lang w:val="en-US" w:eastAsia="zh-CN"/>
        </w:rPr>
        <w:t>有效收集后经污水处理站处理达标排放</w:t>
      </w:r>
      <w:r>
        <w:rPr>
          <w:rFonts w:hint="default" w:ascii="Times New Roman" w:hAnsi="Times New Roman" w:eastAsia="宋体" w:cs="Times New Roman"/>
          <w:spacing w:val="2"/>
          <w:sz w:val="24"/>
          <w:szCs w:val="24"/>
          <w:highlight w:val="none"/>
        </w:rPr>
        <w:t>，</w:t>
      </w:r>
      <w:r>
        <w:rPr>
          <w:rFonts w:hint="eastAsia" w:ascii="Times New Roman" w:hAnsi="Times New Roman" w:eastAsia="宋体" w:cs="Times New Roman"/>
          <w:spacing w:val="2"/>
          <w:sz w:val="24"/>
          <w:szCs w:val="24"/>
          <w:highlight w:val="none"/>
          <w:lang w:val="en-US" w:eastAsia="zh-CN"/>
        </w:rPr>
        <w:t>管道</w:t>
      </w:r>
      <w:r>
        <w:rPr>
          <w:rFonts w:hint="default" w:ascii="Times New Roman" w:hAnsi="Times New Roman" w:eastAsia="宋体" w:cs="Times New Roman"/>
          <w:spacing w:val="2"/>
          <w:sz w:val="24"/>
          <w:szCs w:val="24"/>
          <w:highlight w:val="none"/>
        </w:rPr>
        <w:t>采取直埋方式敷设，一般不会对地下水产</w:t>
      </w:r>
      <w:r>
        <w:rPr>
          <w:rFonts w:hint="default" w:ascii="Times New Roman" w:hAnsi="Times New Roman" w:eastAsia="宋体" w:cs="Times New Roman"/>
          <w:sz w:val="24"/>
          <w:szCs w:val="24"/>
          <w:highlight w:val="none"/>
        </w:rPr>
        <w:t>生影响。排水管道发生渗漏等事故情况下，可能对地下水产生污染，需要对管道接口进行密封防渗处理，并经常对尾水管网的防渗保护措施进行可靠性检查，防止发生渗漏事件。考虑到污水处理站运行过程中，污染物易通过土层，进入厂区周边地下水，或非正常情况污水排入</w:t>
      </w:r>
      <w:r>
        <w:rPr>
          <w:rFonts w:hint="default" w:ascii="Times New Roman" w:hAnsi="Times New Roman" w:eastAsia="宋体" w:cs="Times New Roman"/>
          <w:sz w:val="24"/>
          <w:szCs w:val="24"/>
          <w:highlight w:val="none"/>
          <w:lang w:eastAsia="zh-CN"/>
        </w:rPr>
        <w:t>排碱渠</w:t>
      </w:r>
      <w:r>
        <w:rPr>
          <w:rFonts w:hint="default" w:ascii="Times New Roman" w:hAnsi="Times New Roman" w:eastAsia="宋体" w:cs="Times New Roman"/>
          <w:sz w:val="24"/>
          <w:szCs w:val="24"/>
          <w:highlight w:val="none"/>
        </w:rPr>
        <w:t>从而对项目周边地下水环境造成影响。因此，应对重要设备</w:t>
      </w:r>
      <w:r>
        <w:rPr>
          <w:rFonts w:hint="default" w:ascii="Times New Roman" w:hAnsi="Times New Roman" w:eastAsia="宋体" w:cs="Times New Roman"/>
          <w:spacing w:val="-5"/>
          <w:sz w:val="24"/>
          <w:szCs w:val="24"/>
          <w:highlight w:val="none"/>
        </w:rPr>
        <w:t>做到一备一用，各种污水处理设施建构筑物进行防渗处理，阻隔污染物进入地下水体中，做到废水不下渗。厂内污泥临时堆放场地，地面必须采取硬化、防渗处理。设置应急池，</w:t>
      </w:r>
      <w:r>
        <w:rPr>
          <w:rFonts w:hint="default" w:ascii="Times New Roman" w:hAnsi="Times New Roman" w:eastAsia="宋体" w:cs="Times New Roman"/>
          <w:sz w:val="24"/>
          <w:szCs w:val="24"/>
          <w:highlight w:val="none"/>
        </w:rPr>
        <w:t>避免非正常排放情况的发生。</w:t>
      </w:r>
    </w:p>
    <w:p>
      <w:pPr>
        <w:pStyle w:val="3"/>
        <w:bidi w:val="0"/>
        <w:ind w:left="0" w:leftChars="0" w:firstLine="0" w:firstLineChars="0"/>
        <w:rPr>
          <w:rFonts w:hint="default"/>
          <w:color w:val="auto"/>
          <w:lang w:eastAsia="zh-CN"/>
        </w:rPr>
      </w:pPr>
      <w:bookmarkStart w:id="109" w:name="_bookmark27"/>
      <w:bookmarkEnd w:id="109"/>
      <w:bookmarkStart w:id="110" w:name="5.6.与防洪安全的适应性分析"/>
      <w:bookmarkEnd w:id="110"/>
      <w:bookmarkStart w:id="111" w:name="_Toc24153"/>
      <w:bookmarkStart w:id="112" w:name="_Toc16578"/>
      <w:r>
        <w:rPr>
          <w:rFonts w:hint="default"/>
          <w:color w:val="auto"/>
          <w:lang w:eastAsia="zh-CN"/>
        </w:rPr>
        <w:t>与防洪安全的适应性分析</w:t>
      </w:r>
      <w:bookmarkEnd w:id="111"/>
      <w:bookmarkEnd w:id="112"/>
    </w:p>
    <w:p>
      <w:pPr>
        <w:pStyle w:val="7"/>
        <w:keepNext w:val="0"/>
        <w:keepLines w:val="0"/>
        <w:pageBreakBefore w:val="0"/>
        <w:widowControl w:val="0"/>
        <w:kinsoku/>
        <w:wordWrap/>
        <w:overflowPunct/>
        <w:topLinePunct w:val="0"/>
        <w:autoSpaceDE/>
        <w:autoSpaceDN/>
        <w:bidi w:val="0"/>
        <w:adjustRightInd/>
        <w:snapToGrid/>
        <w:spacing w:after="0" w:line="520" w:lineRule="exact"/>
        <w:ind w:right="0" w:firstLine="460" w:firstLineChars="200"/>
        <w:jc w:val="left"/>
        <w:textAlignment w:val="auto"/>
        <w:rPr>
          <w:rFonts w:hint="default" w:ascii="Times New Roman" w:hAnsi="Times New Roman" w:eastAsia="宋体" w:cs="Times New Roman"/>
          <w:spacing w:val="-5"/>
          <w:sz w:val="24"/>
          <w:szCs w:val="24"/>
          <w:highlight w:val="none"/>
        </w:rPr>
      </w:pPr>
      <w:r>
        <w:rPr>
          <w:rFonts w:hint="default" w:ascii="Times New Roman" w:hAnsi="Times New Roman" w:eastAsia="宋体" w:cs="Times New Roman"/>
          <w:spacing w:val="-5"/>
          <w:sz w:val="24"/>
          <w:szCs w:val="24"/>
          <w:highlight w:val="none"/>
        </w:rPr>
        <w:t>依据业主提供的排水管道布设方案，排水管道穿过</w:t>
      </w:r>
      <w:r>
        <w:rPr>
          <w:rFonts w:hint="eastAsia" w:ascii="Times New Roman" w:hAnsi="Times New Roman" w:eastAsia="宋体" w:cs="Times New Roman"/>
          <w:spacing w:val="-5"/>
          <w:sz w:val="24"/>
          <w:szCs w:val="24"/>
          <w:highlight w:val="none"/>
          <w:lang w:val="en-US" w:eastAsia="zh-CN"/>
        </w:rPr>
        <w:t>桐峪河河岸</w:t>
      </w:r>
      <w:r>
        <w:rPr>
          <w:rFonts w:hint="default" w:ascii="Times New Roman" w:hAnsi="Times New Roman" w:eastAsia="宋体" w:cs="Times New Roman"/>
          <w:spacing w:val="-5"/>
          <w:sz w:val="24"/>
          <w:szCs w:val="24"/>
          <w:highlight w:val="none"/>
        </w:rPr>
        <w:t>堤防工程。尾水排入</w:t>
      </w:r>
      <w:r>
        <w:rPr>
          <w:rFonts w:hint="eastAsia" w:ascii="Times New Roman" w:hAnsi="Times New Roman" w:eastAsia="宋体" w:cs="Times New Roman"/>
          <w:spacing w:val="-5"/>
          <w:sz w:val="24"/>
          <w:szCs w:val="24"/>
          <w:highlight w:val="none"/>
          <w:lang w:val="en-US" w:eastAsia="zh-CN"/>
        </w:rPr>
        <w:t>桐峪河</w:t>
      </w:r>
      <w:r>
        <w:rPr>
          <w:rFonts w:hint="default" w:ascii="Times New Roman" w:hAnsi="Times New Roman" w:eastAsia="宋体" w:cs="Times New Roman"/>
          <w:spacing w:val="-5"/>
          <w:sz w:val="24"/>
          <w:szCs w:val="24"/>
          <w:highlight w:val="none"/>
        </w:rPr>
        <w:t>，穿堤管道一般从河底穿越或堤基穿越，目前广泛使用的定向钻穿越、盾构穿越和顶管穿越，本项目排污管径为DN</w:t>
      </w:r>
      <w:r>
        <w:rPr>
          <w:rFonts w:hint="eastAsia" w:ascii="Times New Roman" w:hAnsi="Times New Roman" w:eastAsia="宋体" w:cs="Times New Roman"/>
          <w:spacing w:val="-5"/>
          <w:sz w:val="24"/>
          <w:szCs w:val="24"/>
          <w:highlight w:val="none"/>
          <w:lang w:val="en-US" w:eastAsia="zh-CN"/>
        </w:rPr>
        <w:t>3</w:t>
      </w:r>
      <w:r>
        <w:rPr>
          <w:rFonts w:hint="default" w:ascii="Times New Roman" w:hAnsi="Times New Roman" w:eastAsia="宋体" w:cs="Times New Roman"/>
          <w:spacing w:val="-5"/>
          <w:sz w:val="24"/>
          <w:szCs w:val="24"/>
          <w:highlight w:val="none"/>
        </w:rPr>
        <w:t>00，管径较小，另外穿越工程较短，为防止管道与管周土发生接触冲刷破坏，对管壁周围进行充填灌浆，灌浆采用外灌浆和内灌浆结合的方案，顶管施工完毕后进行灌浆作业，从而达到不影响堤防工程安全。施工作业前应征求相关河道管理部门意见。</w:t>
      </w:r>
    </w:p>
    <w:p>
      <w:pPr>
        <w:pStyle w:val="7"/>
        <w:keepNext w:val="0"/>
        <w:keepLines w:val="0"/>
        <w:pageBreakBefore w:val="0"/>
        <w:widowControl w:val="0"/>
        <w:kinsoku/>
        <w:wordWrap/>
        <w:overflowPunct/>
        <w:topLinePunct w:val="0"/>
        <w:autoSpaceDE/>
        <w:autoSpaceDN/>
        <w:bidi w:val="0"/>
        <w:adjustRightInd/>
        <w:snapToGrid/>
        <w:spacing w:after="0" w:line="520" w:lineRule="exact"/>
        <w:ind w:right="0" w:firstLine="480" w:firstLineChars="200"/>
        <w:jc w:val="left"/>
        <w:textAlignment w:val="auto"/>
        <w:rPr>
          <w:rFonts w:hint="default" w:ascii="宋体" w:hAnsi="宋体" w:eastAsia="宋体" w:cs="宋体"/>
          <w:color w:val="auto"/>
          <w:sz w:val="24"/>
          <w:szCs w:val="24"/>
          <w:lang w:eastAsia="zh-CN"/>
        </w:rPr>
      </w:pPr>
      <w:r>
        <w:rPr>
          <w:rFonts w:hint="default" w:ascii="Times New Roman" w:hAnsi="Times New Roman" w:eastAsia="宋体" w:cs="Times New Roman"/>
          <w:spacing w:val="0"/>
          <w:sz w:val="24"/>
          <w:szCs w:val="24"/>
          <w:highlight w:val="none"/>
        </w:rPr>
        <w:t>根据</w:t>
      </w:r>
      <w:r>
        <w:rPr>
          <w:rFonts w:hint="eastAsia" w:ascii="Times New Roman" w:hAnsi="Times New Roman" w:eastAsia="宋体" w:cs="Times New Roman"/>
          <w:spacing w:val="0"/>
          <w:sz w:val="24"/>
          <w:szCs w:val="24"/>
          <w:highlight w:val="none"/>
          <w:lang w:val="en-US" w:eastAsia="zh-CN"/>
        </w:rPr>
        <w:t>陕西大兴工程设计有限责任公司出具的</w:t>
      </w:r>
      <w:r>
        <w:rPr>
          <w:rFonts w:hint="default" w:ascii="Times New Roman" w:hAnsi="Times New Roman" w:eastAsia="宋体" w:cs="Times New Roman"/>
          <w:spacing w:val="0"/>
          <w:sz w:val="24"/>
          <w:szCs w:val="24"/>
          <w:highlight w:val="none"/>
        </w:rPr>
        <w:t>《</w:t>
      </w:r>
      <w:r>
        <w:rPr>
          <w:rFonts w:hint="eastAsia" w:ascii="Times New Roman" w:hAnsi="Times New Roman" w:eastAsia="宋体" w:cs="Times New Roman"/>
          <w:spacing w:val="0"/>
          <w:sz w:val="24"/>
          <w:szCs w:val="24"/>
          <w:highlight w:val="none"/>
          <w:lang w:val="en-US" w:eastAsia="zh-CN"/>
        </w:rPr>
        <w:t>潼关县</w:t>
      </w:r>
      <w:r>
        <w:rPr>
          <w:rFonts w:hint="eastAsia" w:ascii="Times New Roman" w:hAnsi="Times New Roman" w:eastAsia="宋体" w:cs="Times New Roman"/>
          <w:spacing w:val="0"/>
          <w:sz w:val="24"/>
          <w:szCs w:val="24"/>
          <w:highlight w:val="none"/>
          <w:lang w:val="en-US" w:eastAsia="zh-CN"/>
        </w:rPr>
        <w:t>桐峪镇</w:t>
      </w:r>
      <w:r>
        <w:rPr>
          <w:rFonts w:hint="eastAsia" w:ascii="Times New Roman" w:hAnsi="Times New Roman" w:eastAsia="宋体" w:cs="Times New Roman"/>
          <w:spacing w:val="0"/>
          <w:sz w:val="24"/>
          <w:szCs w:val="24"/>
          <w:highlight w:val="none"/>
          <w:lang w:val="en-US" w:eastAsia="zh-CN"/>
        </w:rPr>
        <w:t>污水处理站及配套管网工程施工图设计</w:t>
      </w:r>
      <w:r>
        <w:rPr>
          <w:rFonts w:hint="default" w:ascii="Times New Roman" w:hAnsi="Times New Roman" w:eastAsia="宋体" w:cs="Times New Roman"/>
          <w:spacing w:val="0"/>
          <w:sz w:val="24"/>
          <w:szCs w:val="24"/>
          <w:highlight w:val="none"/>
        </w:rPr>
        <w:t>》，按五十年设防，排水口处50年一遇洪水位</w:t>
      </w:r>
      <w:r>
        <w:rPr>
          <w:rFonts w:hint="eastAsia" w:ascii="Times New Roman" w:hAnsi="Times New Roman" w:eastAsia="宋体" w:cs="Times New Roman"/>
          <w:spacing w:val="0"/>
          <w:sz w:val="24"/>
          <w:szCs w:val="24"/>
          <w:highlight w:val="none"/>
          <w:lang w:val="en-US" w:eastAsia="zh-CN"/>
        </w:rPr>
        <w:t>494.735</w:t>
      </w:r>
      <w:r>
        <w:rPr>
          <w:rFonts w:hint="default" w:ascii="Times New Roman" w:hAnsi="Times New Roman" w:eastAsia="宋体" w:cs="Times New Roman"/>
          <w:spacing w:val="0"/>
          <w:sz w:val="24"/>
          <w:szCs w:val="24"/>
          <w:highlight w:val="none"/>
        </w:rPr>
        <w:t>m，常水位</w:t>
      </w:r>
      <w:r>
        <w:rPr>
          <w:rFonts w:hint="eastAsia" w:ascii="Times New Roman" w:hAnsi="Times New Roman" w:eastAsia="宋体" w:cs="Times New Roman"/>
          <w:spacing w:val="0"/>
          <w:sz w:val="24"/>
          <w:szCs w:val="24"/>
          <w:highlight w:val="none"/>
          <w:lang w:val="en-US" w:eastAsia="zh-CN"/>
        </w:rPr>
        <w:t>494.235</w:t>
      </w:r>
      <w:r>
        <w:rPr>
          <w:rFonts w:hint="default" w:ascii="Times New Roman" w:hAnsi="Times New Roman" w:eastAsia="宋体" w:cs="Times New Roman"/>
          <w:spacing w:val="0"/>
          <w:sz w:val="24"/>
          <w:szCs w:val="24"/>
          <w:highlight w:val="none"/>
        </w:rPr>
        <w:t>m，尾水管道重力直排。经和设计单位沟通，最终确定排污口标高为</w:t>
      </w:r>
      <w:r>
        <w:rPr>
          <w:rFonts w:hint="eastAsia" w:ascii="Times New Roman" w:hAnsi="Times New Roman" w:eastAsia="宋体" w:cs="Times New Roman"/>
          <w:spacing w:val="0"/>
          <w:sz w:val="24"/>
          <w:szCs w:val="24"/>
          <w:highlight w:val="none"/>
          <w:lang w:val="en-US" w:eastAsia="zh-CN"/>
        </w:rPr>
        <w:t>495</w:t>
      </w:r>
      <w:r>
        <w:rPr>
          <w:rFonts w:hint="default" w:ascii="Times New Roman" w:hAnsi="Times New Roman" w:eastAsia="宋体" w:cs="Times New Roman"/>
          <w:spacing w:val="0"/>
          <w:sz w:val="24"/>
          <w:szCs w:val="24"/>
          <w:highlight w:val="none"/>
        </w:rPr>
        <w:t>m，排污管穿越</w:t>
      </w:r>
      <w:r>
        <w:rPr>
          <w:rFonts w:hint="default" w:ascii="Times New Roman" w:hAnsi="Times New Roman" w:eastAsia="宋体" w:cs="Times New Roman"/>
          <w:spacing w:val="0"/>
          <w:sz w:val="24"/>
          <w:szCs w:val="24"/>
          <w:highlight w:val="none"/>
          <w:lang w:eastAsia="zh-CN"/>
        </w:rPr>
        <w:t>排碱渠</w:t>
      </w:r>
      <w:r>
        <w:rPr>
          <w:rFonts w:hint="default" w:ascii="Times New Roman" w:hAnsi="Times New Roman" w:eastAsia="宋体" w:cs="Times New Roman"/>
          <w:spacing w:val="0"/>
          <w:sz w:val="24"/>
          <w:szCs w:val="24"/>
          <w:highlight w:val="none"/>
        </w:rPr>
        <w:t>河堤排水后排污口在50年洪水位线以上，可有效防止河水倒灌，达到防洪规划要求。</w:t>
      </w:r>
      <w:r>
        <w:rPr>
          <w:rFonts w:hint="eastAsia" w:ascii="Times New Roman" w:hAnsi="Times New Roman" w:eastAsia="宋体" w:cs="Times New Roman"/>
          <w:spacing w:val="0"/>
          <w:sz w:val="24"/>
          <w:szCs w:val="24"/>
          <w:highlight w:val="none"/>
          <w:lang w:val="en-US" w:eastAsia="zh-CN"/>
        </w:rPr>
        <w:t>排污口施工标高设计图详见附图2。</w:t>
      </w:r>
    </w:p>
    <w:p>
      <w:pPr>
        <w:pStyle w:val="2"/>
        <w:bidi w:val="0"/>
        <w:ind w:left="0" w:leftChars="0" w:firstLine="0" w:firstLineChars="0"/>
        <w:rPr>
          <w:rFonts w:hint="default"/>
          <w:lang w:val="en-US" w:eastAsia="zh-CN"/>
        </w:rPr>
      </w:pPr>
      <w:bookmarkStart w:id="113" w:name="_Toc11928"/>
      <w:bookmarkStart w:id="114" w:name="_Toc10898"/>
      <w:bookmarkStart w:id="115" w:name="_Toc6086"/>
      <w:bookmarkStart w:id="116" w:name="_Toc27751"/>
      <w:r>
        <w:rPr>
          <w:rFonts w:hint="default"/>
          <w:lang w:val="en-US" w:eastAsia="zh-CN"/>
        </w:rPr>
        <w:t>入河排污口</w:t>
      </w:r>
      <w:r>
        <w:rPr>
          <w:rFonts w:hint="eastAsia"/>
          <w:lang w:val="en-US" w:eastAsia="zh-CN"/>
        </w:rPr>
        <w:t>设置</w:t>
      </w:r>
      <w:r>
        <w:rPr>
          <w:rFonts w:hint="default"/>
          <w:lang w:val="en-US" w:eastAsia="zh-CN"/>
        </w:rPr>
        <w:t>合理性分析结论</w:t>
      </w:r>
      <w:bookmarkEnd w:id="113"/>
      <w:bookmarkEnd w:id="114"/>
      <w:bookmarkEnd w:id="115"/>
      <w:bookmarkEnd w:id="1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eastAsia="zh-CN"/>
        </w:rPr>
      </w:pPr>
      <w:r>
        <w:rPr>
          <w:rFonts w:hint="default" w:ascii="宋体" w:hAnsi="宋体" w:eastAsia="宋体" w:cs="宋体"/>
          <w:color w:val="auto"/>
          <w:sz w:val="24"/>
          <w:szCs w:val="24"/>
          <w:lang w:eastAsia="zh-CN"/>
        </w:rPr>
        <w:t>根据现场调查，目前</w:t>
      </w:r>
      <w:r>
        <w:rPr>
          <w:rFonts w:hint="eastAsia" w:ascii="宋体" w:hAnsi="宋体" w:eastAsia="宋体" w:cs="宋体"/>
          <w:sz w:val="24"/>
          <w:szCs w:val="24"/>
          <w:lang w:eastAsia="zh-CN"/>
        </w:rPr>
        <w:t>潼关县桐峪镇污水处理站</w:t>
      </w:r>
      <w:r>
        <w:rPr>
          <w:rFonts w:hint="eastAsia" w:ascii="宋体" w:hAnsi="宋体" w:eastAsia="宋体" w:cs="宋体"/>
          <w:sz w:val="24"/>
          <w:szCs w:val="24"/>
          <w:lang w:val="en-US" w:eastAsia="zh-CN"/>
        </w:rPr>
        <w:t>项目已整体建设完成，周边居民达</w:t>
      </w:r>
      <w:r>
        <w:rPr>
          <w:rFonts w:hint="eastAsia" w:ascii="宋体" w:hAnsi="宋体" w:eastAsia="宋体" w:cs="宋体"/>
          <w:color w:val="auto"/>
          <w:sz w:val="24"/>
          <w:szCs w:val="24"/>
          <w:lang w:val="en-US" w:eastAsia="zh-CN"/>
        </w:rPr>
        <w:t>到有效收集，经本项目</w:t>
      </w:r>
      <w:r>
        <w:rPr>
          <w:rFonts w:hint="default" w:ascii="宋体" w:hAnsi="宋体" w:eastAsia="宋体" w:cs="宋体"/>
          <w:color w:val="auto"/>
          <w:sz w:val="24"/>
          <w:szCs w:val="24"/>
          <w:lang w:eastAsia="zh-CN"/>
        </w:rPr>
        <w:t>处理后</w:t>
      </w:r>
      <w:r>
        <w:rPr>
          <w:rFonts w:hint="eastAsia" w:ascii="宋体" w:hAnsi="宋体" w:eastAsia="宋体" w:cs="宋体"/>
          <w:color w:val="auto"/>
          <w:sz w:val="24"/>
          <w:szCs w:val="24"/>
          <w:lang w:val="en-US" w:eastAsia="zh-CN"/>
        </w:rPr>
        <w:t>满足</w:t>
      </w:r>
      <w:r>
        <w:rPr>
          <w:rFonts w:hint="eastAsia" w:ascii="宋体" w:hAnsi="宋体" w:eastAsia="宋体" w:cs="宋体"/>
          <w:color w:val="auto"/>
          <w:sz w:val="24"/>
          <w:szCs w:val="24"/>
          <w:lang w:val="en-US" w:eastAsia="en-US"/>
        </w:rPr>
        <w:t>《城镇污水处理厂污染物排放标准（GB18918-2002）》一级 A 标准</w:t>
      </w:r>
      <w:r>
        <w:rPr>
          <w:rFonts w:hint="eastAsia" w:ascii="宋体" w:hAnsi="宋体" w:eastAsia="宋体" w:cs="宋体"/>
          <w:color w:val="auto"/>
          <w:sz w:val="24"/>
          <w:szCs w:val="24"/>
          <w:lang w:val="en-US" w:eastAsia="zh-CN"/>
        </w:rPr>
        <w:t>排放于桐峪河</w:t>
      </w:r>
      <w:r>
        <w:rPr>
          <w:rFonts w:hint="default"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eastAsia="zh-CN"/>
        </w:rPr>
        <w:t>通过收集渭南</w:t>
      </w:r>
      <w:r>
        <w:rPr>
          <w:rFonts w:hint="eastAsia" w:ascii="宋体" w:hAnsi="宋体" w:eastAsia="宋体" w:cs="宋体"/>
          <w:color w:val="auto"/>
          <w:sz w:val="24"/>
          <w:szCs w:val="24"/>
          <w:lang w:eastAsia="zh-CN"/>
        </w:rPr>
        <w:t>市市</w:t>
      </w:r>
      <w:r>
        <w:rPr>
          <w:rFonts w:hint="default" w:ascii="宋体" w:hAnsi="宋体" w:eastAsia="宋体" w:cs="宋体"/>
          <w:color w:val="auto"/>
          <w:sz w:val="24"/>
          <w:szCs w:val="24"/>
          <w:lang w:eastAsia="zh-CN"/>
        </w:rPr>
        <w:t>环境保护监测站20</w:t>
      </w:r>
      <w:r>
        <w:rPr>
          <w:rFonts w:hint="eastAsia" w:ascii="宋体" w:hAnsi="宋体" w:eastAsia="宋体" w:cs="宋体"/>
          <w:color w:val="auto"/>
          <w:sz w:val="24"/>
          <w:szCs w:val="24"/>
          <w:lang w:val="en-US" w:eastAsia="zh-CN"/>
        </w:rPr>
        <w:t>22</w:t>
      </w:r>
      <w:r>
        <w:rPr>
          <w:rFonts w:hint="default" w:ascii="宋体" w:hAnsi="宋体" w:eastAsia="宋体" w:cs="宋体"/>
          <w:color w:val="auto"/>
          <w:sz w:val="24"/>
          <w:szCs w:val="24"/>
          <w:lang w:eastAsia="zh-CN"/>
        </w:rPr>
        <w:t>年、20</w:t>
      </w:r>
      <w:r>
        <w:rPr>
          <w:rFonts w:hint="eastAsia" w:ascii="宋体" w:hAnsi="宋体" w:eastAsia="宋体" w:cs="宋体"/>
          <w:color w:val="auto"/>
          <w:sz w:val="24"/>
          <w:szCs w:val="24"/>
          <w:lang w:val="en-US" w:eastAsia="zh-CN"/>
        </w:rPr>
        <w:t>23</w:t>
      </w:r>
      <w:r>
        <w:rPr>
          <w:rFonts w:hint="default" w:ascii="宋体" w:hAnsi="宋体" w:eastAsia="宋体" w:cs="宋体"/>
          <w:color w:val="auto"/>
          <w:sz w:val="24"/>
          <w:szCs w:val="24"/>
          <w:lang w:eastAsia="zh-CN"/>
        </w:rPr>
        <w:t>年度</w:t>
      </w:r>
      <w:r>
        <w:rPr>
          <w:rFonts w:hint="eastAsia" w:ascii="宋体" w:hAnsi="宋体" w:eastAsia="宋体" w:cs="宋体"/>
          <w:color w:val="auto"/>
          <w:sz w:val="24"/>
          <w:szCs w:val="24"/>
          <w:lang w:val="en-US" w:eastAsia="zh-CN"/>
        </w:rPr>
        <w:t>三河口桥（</w:t>
      </w:r>
      <w:r>
        <w:rPr>
          <w:rFonts w:hint="eastAsia" w:ascii="宋体" w:hAnsi="宋体" w:eastAsia="宋体" w:cs="宋体"/>
          <w:color w:val="auto"/>
          <w:sz w:val="24"/>
          <w:szCs w:val="24"/>
          <w:lang w:eastAsia="zh-CN"/>
        </w:rPr>
        <w:t>双桥河</w:t>
      </w:r>
      <w:r>
        <w:rPr>
          <w:rFonts w:hint="eastAsia" w:ascii="宋体" w:hAnsi="宋体" w:eastAsia="宋体" w:cs="宋体"/>
          <w:color w:val="auto"/>
          <w:sz w:val="24"/>
          <w:szCs w:val="24"/>
          <w:lang w:val="en-US" w:eastAsia="zh-CN"/>
        </w:rPr>
        <w:t>）</w:t>
      </w:r>
      <w:r>
        <w:rPr>
          <w:rFonts w:hint="default" w:ascii="宋体" w:hAnsi="宋体" w:eastAsia="宋体" w:cs="宋体"/>
          <w:color w:val="auto"/>
          <w:sz w:val="24"/>
          <w:szCs w:val="24"/>
          <w:lang w:eastAsia="zh-CN"/>
        </w:rPr>
        <w:t>监测断面的常规监测数据，水质监测结果表明各监测因子可达到《地表水环境质量标准》（GB3383-2002）Ⅲ类标准。</w:t>
      </w:r>
      <w:r>
        <w:rPr>
          <w:rFonts w:hint="default" w:ascii="宋体" w:hAnsi="宋体" w:eastAsia="宋体" w:cs="宋体"/>
          <w:color w:val="auto"/>
          <w:sz w:val="24"/>
          <w:szCs w:val="24"/>
          <w:lang w:val="en-US" w:eastAsia="zh-CN"/>
        </w:rPr>
        <w:t>综上所述，本次在</w:t>
      </w:r>
      <w:r>
        <w:rPr>
          <w:rFonts w:hint="eastAsia" w:ascii="宋体" w:hAnsi="宋体" w:eastAsia="宋体" w:cs="宋体"/>
          <w:color w:val="auto"/>
          <w:sz w:val="24"/>
          <w:szCs w:val="24"/>
          <w:lang w:val="en-US" w:eastAsia="zh-CN"/>
        </w:rPr>
        <w:t>桐峪</w:t>
      </w:r>
      <w:r>
        <w:rPr>
          <w:rFonts w:hint="default" w:ascii="宋体" w:hAnsi="宋体" w:eastAsia="宋体" w:cs="宋体"/>
          <w:color w:val="auto"/>
          <w:sz w:val="24"/>
          <w:szCs w:val="24"/>
          <w:lang w:val="en-US" w:eastAsia="zh-CN"/>
        </w:rPr>
        <w:t>河上设置排放口，不改变</w:t>
      </w:r>
      <w:r>
        <w:rPr>
          <w:rFonts w:hint="eastAsia" w:ascii="宋体" w:hAnsi="宋体" w:eastAsia="宋体" w:cs="宋体"/>
          <w:color w:val="auto"/>
          <w:sz w:val="24"/>
          <w:szCs w:val="24"/>
          <w:lang w:val="en-US" w:eastAsia="zh-CN"/>
        </w:rPr>
        <w:t>桐峪</w:t>
      </w:r>
      <w:r>
        <w:rPr>
          <w:rFonts w:hint="default" w:ascii="宋体" w:hAnsi="宋体" w:eastAsia="宋体" w:cs="宋体"/>
          <w:color w:val="auto"/>
          <w:sz w:val="24"/>
          <w:szCs w:val="24"/>
          <w:lang w:val="en-US" w:eastAsia="zh-CN"/>
        </w:rPr>
        <w:t>河地表水</w:t>
      </w:r>
      <w:r>
        <w:rPr>
          <w:rFonts w:hint="eastAsia" w:ascii="宋体" w:hAnsi="宋体" w:eastAsia="宋体" w:cs="宋体"/>
          <w:color w:val="auto"/>
          <w:sz w:val="24"/>
          <w:szCs w:val="24"/>
          <w:lang w:val="en-US" w:eastAsia="zh-CN"/>
        </w:rPr>
        <w:t>水质情况下并有效改善豫陕缓冲区三河口桥（</w:t>
      </w:r>
      <w:r>
        <w:rPr>
          <w:rFonts w:hint="eastAsia" w:ascii="宋体" w:hAnsi="宋体" w:eastAsia="宋体" w:cs="宋体"/>
          <w:color w:val="auto"/>
          <w:sz w:val="24"/>
          <w:szCs w:val="24"/>
          <w:lang w:eastAsia="zh-CN"/>
        </w:rPr>
        <w:t>双桥河</w:t>
      </w:r>
      <w:r>
        <w:rPr>
          <w:rFonts w:hint="eastAsia" w:ascii="宋体" w:hAnsi="宋体" w:eastAsia="宋体" w:cs="宋体"/>
          <w:color w:val="auto"/>
          <w:sz w:val="24"/>
          <w:szCs w:val="24"/>
          <w:lang w:val="en-US" w:eastAsia="zh-CN"/>
        </w:rPr>
        <w:t>）</w:t>
      </w:r>
      <w:r>
        <w:rPr>
          <w:rFonts w:hint="default" w:ascii="宋体" w:hAnsi="宋体" w:eastAsia="宋体" w:cs="宋体"/>
          <w:color w:val="auto"/>
          <w:sz w:val="24"/>
          <w:szCs w:val="24"/>
          <w:lang w:eastAsia="zh-CN"/>
        </w:rPr>
        <w:t>断面</w:t>
      </w:r>
      <w:r>
        <w:rPr>
          <w:rFonts w:hint="eastAsia" w:ascii="宋体" w:hAnsi="宋体" w:eastAsia="宋体" w:cs="宋体"/>
          <w:color w:val="auto"/>
          <w:sz w:val="24"/>
          <w:szCs w:val="24"/>
          <w:lang w:val="en-US" w:eastAsia="zh-CN"/>
        </w:rPr>
        <w:t>水质</w:t>
      </w:r>
      <w:r>
        <w:rPr>
          <w:rFonts w:hint="default" w:ascii="宋体" w:hAnsi="宋体" w:eastAsia="宋体" w:cs="宋体"/>
          <w:color w:val="auto"/>
          <w:sz w:val="24"/>
          <w:szCs w:val="24"/>
          <w:lang w:val="en-US" w:eastAsia="zh-CN"/>
        </w:rPr>
        <w:t>，设置基本合理。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spacing w:val="7"/>
          <w:kern w:val="2"/>
          <w:sz w:val="24"/>
          <w:szCs w:val="24"/>
          <w:u w:val="none" w:color="auto"/>
          <w:lang w:val="en-US" w:eastAsia="zh-CN" w:bidi="ar-SA"/>
        </w:rPr>
        <w:t>附图1：《渭河渭南市段及伊洛河水系水功能区划图》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drawing>
          <wp:inline distT="0" distB="0" distL="114300" distR="114300">
            <wp:extent cx="8069580" cy="5511165"/>
            <wp:effectExtent l="0" t="0" r="13335" b="7620"/>
            <wp:docPr id="2" name="图片 2" descr="171928636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9286366169"/>
                    <pic:cNvPicPr>
                      <a:picLocks noChangeAspect="1"/>
                    </pic:cNvPicPr>
                  </pic:nvPicPr>
                  <pic:blipFill>
                    <a:blip r:embed="rId10"/>
                    <a:stretch>
                      <a:fillRect/>
                    </a:stretch>
                  </pic:blipFill>
                  <pic:spPr>
                    <a:xfrm rot="16200000">
                      <a:off x="0" y="0"/>
                      <a:ext cx="8069580" cy="5511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spacing w:val="7"/>
          <w:kern w:val="2"/>
          <w:sz w:val="24"/>
          <w:szCs w:val="24"/>
          <w:u w:val="none" w:color="auto"/>
          <w:lang w:val="en-US" w:eastAsia="zh-CN" w:bidi="ar-SA"/>
        </w:rPr>
        <w:t>附图2：《排污口规范化建设施工设计图》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drawing>
          <wp:inline distT="0" distB="0" distL="114300" distR="114300">
            <wp:extent cx="7875270" cy="5562600"/>
            <wp:effectExtent l="0" t="0" r="0" b="11430"/>
            <wp:docPr id="10" name="图片 10" descr="172002303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0023038226"/>
                    <pic:cNvPicPr>
                      <a:picLocks noChangeAspect="1"/>
                    </pic:cNvPicPr>
                  </pic:nvPicPr>
                  <pic:blipFill>
                    <a:blip r:embed="rId11"/>
                    <a:stretch>
                      <a:fillRect/>
                    </a:stretch>
                  </pic:blipFill>
                  <pic:spPr>
                    <a:xfrm rot="16200000">
                      <a:off x="0" y="0"/>
                      <a:ext cx="7875270" cy="5562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pacing w:val="7"/>
          <w:kern w:val="2"/>
          <w:sz w:val="24"/>
          <w:szCs w:val="24"/>
          <w:u w:val="none" w:color="auto"/>
          <w:lang w:val="en-US" w:eastAsia="zh-CN" w:bidi="ar-SA"/>
        </w:rPr>
      </w:pPr>
      <w:r>
        <w:rPr>
          <w:rFonts w:hint="eastAsia" w:ascii="宋体" w:hAnsi="宋体" w:eastAsia="宋体" w:cs="宋体"/>
          <w:color w:val="auto"/>
          <w:sz w:val="24"/>
          <w:szCs w:val="24"/>
          <w:lang w:val="en-US" w:eastAsia="zh-CN"/>
        </w:rPr>
        <w:t>附图3：</w:t>
      </w:r>
      <w:r>
        <w:rPr>
          <w:rFonts w:hint="eastAsia" w:ascii="宋体" w:hAnsi="宋体" w:eastAsia="宋体" w:cs="宋体"/>
          <w:spacing w:val="7"/>
          <w:kern w:val="2"/>
          <w:sz w:val="24"/>
          <w:szCs w:val="24"/>
          <w:u w:val="none" w:color="auto"/>
          <w:lang w:val="en-US" w:eastAsia="zh-CN" w:bidi="ar-SA"/>
        </w:rPr>
        <w:t>《排污口施工标高设计图》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pacing w:val="7"/>
          <w:kern w:val="2"/>
          <w:sz w:val="24"/>
          <w:szCs w:val="24"/>
          <w:u w:val="none" w:color="auto"/>
          <w:lang w:val="en-US" w:eastAsia="zh-CN" w:bidi="ar-SA"/>
        </w:rPr>
      </w:pPr>
      <w:r>
        <w:rPr>
          <w:rFonts w:hint="eastAsia" w:ascii="宋体" w:hAnsi="宋体" w:eastAsia="宋体" w:cs="宋体"/>
          <w:spacing w:val="7"/>
          <w:kern w:val="2"/>
          <w:sz w:val="24"/>
          <w:szCs w:val="24"/>
          <w:u w:val="none" w:color="auto"/>
          <w:lang w:val="en-US" w:eastAsia="zh-CN" w:bidi="ar-SA"/>
        </w:rPr>
        <w:drawing>
          <wp:inline distT="0" distB="0" distL="114300" distR="114300">
            <wp:extent cx="7894320" cy="5669915"/>
            <wp:effectExtent l="0" t="0" r="6985" b="11430"/>
            <wp:docPr id="12" name="图片 12" descr="排水口设计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排水口设计要求"/>
                    <pic:cNvPicPr>
                      <a:picLocks noChangeAspect="1"/>
                    </pic:cNvPicPr>
                  </pic:nvPicPr>
                  <pic:blipFill>
                    <a:blip r:embed="rId12"/>
                    <a:stretch>
                      <a:fillRect/>
                    </a:stretch>
                  </pic:blipFill>
                  <pic:spPr>
                    <a:xfrm rot="16200000">
                      <a:off x="0" y="0"/>
                      <a:ext cx="7894320" cy="5669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spacing w:val="7"/>
          <w:kern w:val="2"/>
          <w:sz w:val="24"/>
          <w:szCs w:val="24"/>
          <w:u w:val="none" w:color="auto"/>
          <w:lang w:val="en-US" w:eastAsia="zh-CN" w:bidi="ar-SA"/>
        </w:rPr>
      </w:pPr>
      <w:bookmarkStart w:id="117" w:name="_Toc6730"/>
      <w:r>
        <w:rPr>
          <w:rFonts w:hint="eastAsia" w:ascii="宋体" w:hAnsi="宋体" w:eastAsia="宋体" w:cs="宋体"/>
          <w:spacing w:val="7"/>
          <w:kern w:val="2"/>
          <w:sz w:val="24"/>
          <w:szCs w:val="24"/>
          <w:u w:val="none" w:color="auto"/>
          <w:lang w:val="en-US" w:eastAsia="zh-CN" w:bidi="ar-SA"/>
        </w:rPr>
        <w:t>附件1：项目环境影响评价批复</w:t>
      </w:r>
      <w:bookmarkEnd w:id="11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r>
        <w:rPr>
          <w:rFonts w:hint="default" w:ascii="宋体" w:hAnsi="宋体" w:eastAsia="宋体" w:cs="宋体"/>
          <w:spacing w:val="7"/>
          <w:kern w:val="2"/>
          <w:sz w:val="24"/>
          <w:szCs w:val="24"/>
          <w:u w:val="none" w:color="auto"/>
          <w:lang w:val="en-US" w:eastAsia="zh-CN" w:bidi="ar-SA"/>
        </w:rPr>
        <w:drawing>
          <wp:inline distT="0" distB="0" distL="114300" distR="114300">
            <wp:extent cx="5339080" cy="7550150"/>
            <wp:effectExtent l="0" t="0" r="13970" b="12700"/>
            <wp:docPr id="13" name="图片 13" descr="02-环评批复（渭环潼发2020-103号） 2020.12.3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2-环评批复（渭环潼发2020-103号） 2020.12.31(1)_00"/>
                    <pic:cNvPicPr>
                      <a:picLocks noChangeAspect="1"/>
                    </pic:cNvPicPr>
                  </pic:nvPicPr>
                  <pic:blipFill>
                    <a:blip r:embed="rId13"/>
                    <a:stretch>
                      <a:fillRect/>
                    </a:stretch>
                  </pic:blipFill>
                  <pic:spPr>
                    <a:xfrm>
                      <a:off x="0" y="0"/>
                      <a:ext cx="5339080" cy="7550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r>
        <w:rPr>
          <w:rFonts w:hint="default" w:ascii="宋体" w:hAnsi="宋体" w:eastAsia="宋体" w:cs="宋体"/>
          <w:spacing w:val="7"/>
          <w:kern w:val="2"/>
          <w:sz w:val="24"/>
          <w:szCs w:val="24"/>
          <w:u w:val="none" w:color="auto"/>
          <w:lang w:val="en-US" w:eastAsia="zh-CN" w:bidi="ar-SA"/>
        </w:rPr>
        <w:drawing>
          <wp:inline distT="0" distB="0" distL="114300" distR="114300">
            <wp:extent cx="5339080" cy="7550150"/>
            <wp:effectExtent l="0" t="0" r="13970" b="12700"/>
            <wp:docPr id="14" name="图片 14" descr="02-环评批复（渭环潼发2020-103号） 2020.12.3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2-环评批复（渭环潼发2020-103号） 2020.12.31(1)_01"/>
                    <pic:cNvPicPr>
                      <a:picLocks noChangeAspect="1"/>
                    </pic:cNvPicPr>
                  </pic:nvPicPr>
                  <pic:blipFill>
                    <a:blip r:embed="rId14"/>
                    <a:stretch>
                      <a:fillRect/>
                    </a:stretch>
                  </pic:blipFill>
                  <pic:spPr>
                    <a:xfrm>
                      <a:off x="0" y="0"/>
                      <a:ext cx="5339080" cy="7550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r>
        <w:rPr>
          <w:rFonts w:hint="default" w:ascii="宋体" w:hAnsi="宋体" w:eastAsia="宋体" w:cs="宋体"/>
          <w:spacing w:val="7"/>
          <w:kern w:val="2"/>
          <w:sz w:val="24"/>
          <w:szCs w:val="24"/>
          <w:u w:val="none" w:color="auto"/>
          <w:lang w:val="en-US" w:eastAsia="zh-CN" w:bidi="ar-SA"/>
        </w:rPr>
        <w:drawing>
          <wp:inline distT="0" distB="0" distL="114300" distR="114300">
            <wp:extent cx="5339080" cy="7550150"/>
            <wp:effectExtent l="0" t="0" r="13970" b="12700"/>
            <wp:docPr id="15" name="图片 15" descr="02-环评批复（渭环潼发2020-103号） 2020.12.3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2-环评批复（渭环潼发2020-103号） 2020.12.31(1)_02"/>
                    <pic:cNvPicPr>
                      <a:picLocks noChangeAspect="1"/>
                    </pic:cNvPicPr>
                  </pic:nvPicPr>
                  <pic:blipFill>
                    <a:blip r:embed="rId15"/>
                    <a:stretch>
                      <a:fillRect/>
                    </a:stretch>
                  </pic:blipFill>
                  <pic:spPr>
                    <a:xfrm>
                      <a:off x="0" y="0"/>
                      <a:ext cx="5339080" cy="7550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pacing w:val="7"/>
          <w:kern w:val="2"/>
          <w:sz w:val="24"/>
          <w:szCs w:val="24"/>
          <w:u w:val="none" w:color="auto"/>
          <w:lang w:val="en-US" w:eastAsia="zh-CN" w:bidi="ar-SA"/>
        </w:rPr>
        <w:sectPr>
          <w:footerReference r:id="rId3" w:type="default"/>
          <w:pgSz w:w="11906" w:h="16838"/>
          <w:pgMar w:top="1440" w:right="1746" w:bottom="1440" w:left="1746"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spacing w:val="7"/>
          <w:kern w:val="2"/>
          <w:sz w:val="24"/>
          <w:szCs w:val="24"/>
          <w:u w:val="none" w:color="auto"/>
          <w:lang w:val="en-US" w:eastAsia="zh-CN" w:bidi="ar-SA"/>
        </w:rPr>
      </w:pPr>
      <w:bookmarkStart w:id="118" w:name="_Toc13920"/>
      <w:r>
        <w:rPr>
          <w:rFonts w:hint="eastAsia" w:ascii="宋体" w:hAnsi="宋体" w:eastAsia="宋体" w:cs="宋体"/>
          <w:spacing w:val="7"/>
          <w:kern w:val="2"/>
          <w:sz w:val="24"/>
          <w:szCs w:val="24"/>
          <w:u w:val="none" w:color="auto"/>
          <w:lang w:val="en-US" w:eastAsia="zh-CN" w:bidi="ar-SA"/>
        </w:rPr>
        <w:t>附件2：三河口桥断面监测数据</w:t>
      </w:r>
      <w:bookmarkEnd w:id="118"/>
    </w:p>
    <w:tbl>
      <w:tblPr>
        <w:tblW w:w="1215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352"/>
        <w:gridCol w:w="3018"/>
        <w:gridCol w:w="2493"/>
        <w:gridCol w:w="2618"/>
        <w:gridCol w:w="16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20" w:hRule="atLeast"/>
        </w:trPr>
        <w:tc>
          <w:tcPr>
            <w:tcW w:w="12158" w:type="dxa"/>
            <w:gridSpan w:val="5"/>
            <w:tcBorders>
              <w:top w:val="nil"/>
              <w:left w:val="nil"/>
              <w:bottom w:val="nil"/>
              <w:right w:val="nil"/>
            </w:tcBorders>
            <w:shd w:val="clear"/>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default" w:ascii="方正小标宋简体" w:hAnsi="方正小标宋简体" w:eastAsia="方正小标宋简体" w:cs="方正小标宋简体"/>
                <w:i w:val="0"/>
                <w:iCs w:val="0"/>
                <w:color w:val="000000"/>
                <w:kern w:val="0"/>
                <w:sz w:val="40"/>
                <w:szCs w:val="40"/>
                <w:u w:val="none"/>
                <w:bdr w:val="none" w:color="auto" w:sz="0" w:space="0"/>
                <w:lang w:val="en-US" w:eastAsia="zh-CN" w:bidi="ar"/>
              </w:rPr>
              <w:t>2022年潼关县三河口双桥河断面水质监测结果统计表</w:t>
            </w:r>
            <w:r>
              <w:rPr>
                <w:rStyle w:val="21"/>
                <w:bdr w:val="none" w:color="auto" w:sz="0" w:space="0"/>
                <w:lang w:val="en-US" w:eastAsia="zh-CN" w:bidi="ar"/>
              </w:rPr>
              <w:t>（单位：毫克/升）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2352" w:type="dxa"/>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水质目标Ⅲ类</w:t>
            </w:r>
          </w:p>
        </w:tc>
        <w:tc>
          <w:tcPr>
            <w:tcW w:w="3018" w:type="dxa"/>
            <w:tcBorders>
              <w:top w:val="nil"/>
              <w:left w:val="nil"/>
              <w:bottom w:val="nil"/>
              <w:right w:val="nil"/>
            </w:tcBorders>
            <w:shd w:val="clear"/>
            <w:noWrap/>
            <w:vAlign w:val="center"/>
          </w:tcPr>
          <w:p>
            <w:pPr>
              <w:jc w:val="center"/>
              <w:rPr>
                <w:rFonts w:hint="default" w:ascii="方正小标宋简体" w:hAnsi="方正小标宋简体" w:eastAsia="方正小标宋简体" w:cs="方正小标宋简体"/>
                <w:i w:val="0"/>
                <w:iCs w:val="0"/>
                <w:color w:val="000000"/>
                <w:sz w:val="40"/>
                <w:szCs w:val="40"/>
                <w:u w:val="none"/>
              </w:rPr>
            </w:pPr>
          </w:p>
        </w:tc>
        <w:tc>
          <w:tcPr>
            <w:tcW w:w="2493" w:type="dxa"/>
            <w:tcBorders>
              <w:top w:val="nil"/>
              <w:left w:val="nil"/>
              <w:bottom w:val="nil"/>
              <w:right w:val="nil"/>
            </w:tcBorders>
            <w:shd w:val="clear"/>
            <w:noWrap/>
            <w:vAlign w:val="center"/>
          </w:tcPr>
          <w:p>
            <w:pPr>
              <w:jc w:val="center"/>
              <w:rPr>
                <w:rFonts w:hint="default" w:ascii="方正小标宋简体" w:hAnsi="方正小标宋简体" w:eastAsia="方正小标宋简体" w:cs="方正小标宋简体"/>
                <w:i w:val="0"/>
                <w:iCs w:val="0"/>
                <w:color w:val="000000"/>
                <w:sz w:val="40"/>
                <w:szCs w:val="40"/>
                <w:u w:val="none"/>
              </w:rPr>
            </w:pPr>
          </w:p>
        </w:tc>
        <w:tc>
          <w:tcPr>
            <w:tcW w:w="2618" w:type="dxa"/>
            <w:tcBorders>
              <w:top w:val="nil"/>
              <w:left w:val="nil"/>
              <w:bottom w:val="nil"/>
              <w:right w:val="nil"/>
            </w:tcBorders>
            <w:shd w:val="clear"/>
            <w:noWrap/>
            <w:vAlign w:val="center"/>
          </w:tcPr>
          <w:p>
            <w:pPr>
              <w:jc w:val="center"/>
              <w:rPr>
                <w:rFonts w:hint="default" w:ascii="方正小标宋简体" w:hAnsi="方正小标宋简体" w:eastAsia="方正小标宋简体" w:cs="方正小标宋简体"/>
                <w:i w:val="0"/>
                <w:iCs w:val="0"/>
                <w:color w:val="000000"/>
                <w:sz w:val="40"/>
                <w:szCs w:val="40"/>
                <w:u w:val="none"/>
              </w:rPr>
            </w:pPr>
          </w:p>
        </w:tc>
        <w:tc>
          <w:tcPr>
            <w:tcW w:w="1677" w:type="dxa"/>
            <w:tcBorders>
              <w:top w:val="nil"/>
              <w:left w:val="nil"/>
              <w:bottom w:val="nil"/>
              <w:right w:val="nil"/>
            </w:tcBorders>
            <w:shd w:val="clear"/>
            <w:noWrap/>
            <w:vAlign w:val="center"/>
          </w:tcPr>
          <w:p>
            <w:pPr>
              <w:jc w:val="center"/>
              <w:rPr>
                <w:rFonts w:hint="default" w:ascii="方正小标宋简体" w:hAnsi="方正小标宋简体" w:eastAsia="方正小标宋简体" w:cs="方正小标宋简体"/>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月份</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化学需氧量</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氨氮</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总磷</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水质类别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0.03</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0.005</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2"/>
                <w:szCs w:val="22"/>
                <w:u w:val="none"/>
              </w:rPr>
            </w:pPr>
            <w:r>
              <w:rPr>
                <w:rStyle w:val="22"/>
                <w:rFonts w:hAnsi="宋体"/>
                <w:bdr w:val="none" w:color="auto" w:sz="0" w:space="0"/>
                <w:lang w:val="en-US" w:eastAsia="zh-CN" w:bidi="ar"/>
              </w:rPr>
              <w:t>Ⅰ</w:t>
            </w:r>
            <w:r>
              <w:rPr>
                <w:rStyle w:val="23"/>
                <w:bdr w:val="none" w:color="auto" w:sz="0" w:space="0"/>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0.03</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0.005</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2"/>
                <w:rFonts w:hAnsi="宋体"/>
                <w:bdr w:val="none" w:color="auto" w:sz="0" w:space="0"/>
                <w:lang w:val="en-US" w:eastAsia="zh-CN" w:bidi="ar"/>
              </w:rPr>
              <w:t>Ⅰ</w:t>
            </w:r>
            <w:r>
              <w:rPr>
                <w:rStyle w:val="23"/>
                <w:bdr w:val="none" w:color="auto" w:sz="0" w:space="0"/>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0.15</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0.02</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2"/>
                <w:rFonts w:hAnsi="宋体"/>
                <w:bdr w:val="none" w:color="auto" w:sz="0" w:space="0"/>
                <w:lang w:val="en-US" w:eastAsia="zh-CN" w:bidi="ar"/>
              </w:rPr>
              <w:t>Ⅰ</w:t>
            </w:r>
            <w:r>
              <w:rPr>
                <w:rStyle w:val="23"/>
                <w:bdr w:val="none" w:color="auto" w:sz="0" w:space="0"/>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0.15</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0.02</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2"/>
                <w:rFonts w:hAnsi="宋体"/>
                <w:bdr w:val="none" w:color="auto" w:sz="0" w:space="0"/>
                <w:lang w:val="en-US" w:eastAsia="zh-CN" w:bidi="ar"/>
              </w:rPr>
              <w:t>Ⅰ</w:t>
            </w:r>
            <w:r>
              <w:rPr>
                <w:rStyle w:val="23"/>
                <w:bdr w:val="none" w:color="auto" w:sz="0" w:space="0"/>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0.15</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0.02</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2"/>
                <w:rFonts w:hAnsi="宋体"/>
                <w:bdr w:val="none" w:color="auto" w:sz="0" w:space="0"/>
                <w:lang w:val="en-US" w:eastAsia="zh-CN" w:bidi="ar"/>
              </w:rPr>
              <w:t>Ⅰ</w:t>
            </w:r>
            <w:r>
              <w:rPr>
                <w:rStyle w:val="23"/>
                <w:bdr w:val="none" w:color="auto" w:sz="0" w:space="0"/>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w:t>
            </w:r>
          </w:p>
        </w:tc>
        <w:tc>
          <w:tcPr>
            <w:tcW w:w="301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w:t>
            </w:r>
          </w:p>
        </w:tc>
        <w:tc>
          <w:tcPr>
            <w:tcW w:w="24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0.61</w:t>
            </w:r>
          </w:p>
        </w:tc>
        <w:tc>
          <w:tcPr>
            <w:tcW w:w="261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0.04</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bdr w:val="none" w:color="auto" w:sz="0" w:space="0"/>
                <w:lang w:val="en-US" w:eastAsia="zh-CN" w:bidi="ar"/>
              </w:rPr>
              <w:t>Ⅲ</w:t>
            </w:r>
            <w:r>
              <w:rPr>
                <w:rStyle w:val="23"/>
                <w:bdr w:val="none" w:color="auto" w:sz="0" w:space="0"/>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w:t>
            </w:r>
          </w:p>
        </w:tc>
        <w:tc>
          <w:tcPr>
            <w:tcW w:w="301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w:t>
            </w:r>
          </w:p>
        </w:tc>
        <w:tc>
          <w:tcPr>
            <w:tcW w:w="24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0.61</w:t>
            </w:r>
          </w:p>
        </w:tc>
        <w:tc>
          <w:tcPr>
            <w:tcW w:w="261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0.04</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2"/>
                <w:rFonts w:hAnsi="宋体"/>
                <w:bdr w:val="none" w:color="auto" w:sz="0" w:space="0"/>
                <w:lang w:val="en-US" w:eastAsia="zh-CN" w:bidi="ar"/>
              </w:rPr>
              <w:t>Ⅲ</w:t>
            </w:r>
            <w:r>
              <w:rPr>
                <w:rStyle w:val="23"/>
                <w:bdr w:val="none" w:color="auto" w:sz="0" w:space="0"/>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w:t>
            </w:r>
          </w:p>
        </w:tc>
        <w:tc>
          <w:tcPr>
            <w:tcW w:w="301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6.3</w:t>
            </w:r>
          </w:p>
        </w:tc>
        <w:tc>
          <w:tcPr>
            <w:tcW w:w="24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0.29</w:t>
            </w:r>
          </w:p>
        </w:tc>
        <w:tc>
          <w:tcPr>
            <w:tcW w:w="261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0.024</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bdr w:val="none" w:color="auto" w:sz="0" w:space="0"/>
                <w:lang w:val="en-US" w:eastAsia="zh-CN" w:bidi="ar"/>
              </w:rPr>
              <w:t>Ⅱ类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7.7</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0.42</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0.029</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bdr w:val="none" w:color="auto" w:sz="0" w:space="0"/>
                <w:lang w:val="en-US" w:eastAsia="zh-CN" w:bidi="ar"/>
              </w:rPr>
              <w:t>Ⅱ类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0.06</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0.06</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bdr w:val="none" w:color="auto" w:sz="0" w:space="0"/>
                <w:lang w:val="en-US" w:eastAsia="zh-CN" w:bidi="ar"/>
              </w:rPr>
              <w:t>Ⅱ类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w:t>
            </w:r>
          </w:p>
        </w:tc>
        <w:tc>
          <w:tcPr>
            <w:tcW w:w="30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w:t>
            </w:r>
          </w:p>
        </w:tc>
        <w:tc>
          <w:tcPr>
            <w:tcW w:w="249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0.61</w:t>
            </w:r>
          </w:p>
        </w:tc>
        <w:tc>
          <w:tcPr>
            <w:tcW w:w="261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0.04</w:t>
            </w:r>
          </w:p>
        </w:tc>
        <w:tc>
          <w:tcPr>
            <w:tcW w:w="16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2"/>
                <w:rFonts w:hAnsi="宋体"/>
                <w:bdr w:val="none" w:color="auto" w:sz="0" w:space="0"/>
                <w:lang w:val="en-US" w:eastAsia="zh-CN" w:bidi="ar"/>
              </w:rPr>
              <w:t>Ⅲ</w:t>
            </w:r>
            <w:r>
              <w:rPr>
                <w:rStyle w:val="23"/>
                <w:bdr w:val="none" w:color="auto" w:sz="0" w:space="0"/>
                <w:lang w:val="en-US" w:eastAsia="zh-CN" w:bidi="ar"/>
              </w:rPr>
              <w:t>类</w:t>
            </w:r>
          </w:p>
        </w:tc>
      </w:tr>
    </w:tbl>
    <w:tbl>
      <w:tblPr>
        <w:tblStyle w:val="14"/>
        <w:tblW w:w="1215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52"/>
        <w:gridCol w:w="3018"/>
        <w:gridCol w:w="2493"/>
        <w:gridCol w:w="2618"/>
        <w:gridCol w:w="16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12158"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default" w:ascii="方正小标宋简体" w:hAnsi="方正小标宋简体" w:eastAsia="方正小标宋简体" w:cs="方正小标宋简体"/>
                <w:i w:val="0"/>
                <w:iCs w:val="0"/>
                <w:color w:val="000000"/>
                <w:kern w:val="0"/>
                <w:sz w:val="40"/>
                <w:szCs w:val="40"/>
                <w:u w:val="none"/>
                <w:lang w:val="en-US" w:eastAsia="zh-CN" w:bidi="ar"/>
              </w:rPr>
              <w:t>202</w:t>
            </w:r>
            <w:r>
              <w:rPr>
                <w:rFonts w:hint="eastAsia" w:ascii="方正小标宋简体" w:hAnsi="方正小标宋简体" w:eastAsia="方正小标宋简体" w:cs="方正小标宋简体"/>
                <w:i w:val="0"/>
                <w:iCs w:val="0"/>
                <w:color w:val="000000"/>
                <w:kern w:val="0"/>
                <w:sz w:val="40"/>
                <w:szCs w:val="40"/>
                <w:u w:val="none"/>
                <w:lang w:val="en-US" w:eastAsia="zh-CN" w:bidi="ar"/>
              </w:rPr>
              <w:t>3</w:t>
            </w:r>
            <w:r>
              <w:rPr>
                <w:rFonts w:hint="default" w:ascii="方正小标宋简体" w:hAnsi="方正小标宋简体" w:eastAsia="方正小标宋简体" w:cs="方正小标宋简体"/>
                <w:i w:val="0"/>
                <w:iCs w:val="0"/>
                <w:color w:val="000000"/>
                <w:kern w:val="0"/>
                <w:sz w:val="40"/>
                <w:szCs w:val="40"/>
                <w:u w:val="none"/>
                <w:lang w:val="en-US" w:eastAsia="zh-CN" w:bidi="ar"/>
              </w:rPr>
              <w:t>年潼关县三河口双桥河断面水质监测结果统计表</w:t>
            </w:r>
            <w:r>
              <w:rPr>
                <w:rStyle w:val="21"/>
                <w:lang w:val="en-US" w:eastAsia="zh-CN" w:bidi="ar"/>
              </w:rPr>
              <w:t>（单位：毫克/升）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35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水质目标Ⅲ类</w:t>
            </w:r>
          </w:p>
        </w:tc>
        <w:tc>
          <w:tcPr>
            <w:tcW w:w="3018" w:type="dxa"/>
            <w:tcBorders>
              <w:top w:val="nil"/>
              <w:left w:val="nil"/>
              <w:bottom w:val="nil"/>
              <w:right w:val="nil"/>
            </w:tcBorders>
            <w:shd w:val="clear" w:color="auto" w:fill="auto"/>
            <w:noWrap/>
            <w:vAlign w:val="center"/>
          </w:tcPr>
          <w:p>
            <w:pPr>
              <w:jc w:val="center"/>
              <w:rPr>
                <w:rFonts w:hint="default" w:ascii="方正小标宋简体" w:hAnsi="方正小标宋简体" w:eastAsia="方正小标宋简体" w:cs="方正小标宋简体"/>
                <w:i w:val="0"/>
                <w:iCs w:val="0"/>
                <w:color w:val="000000"/>
                <w:sz w:val="40"/>
                <w:szCs w:val="40"/>
                <w:u w:val="none"/>
              </w:rPr>
            </w:pPr>
          </w:p>
        </w:tc>
        <w:tc>
          <w:tcPr>
            <w:tcW w:w="2493" w:type="dxa"/>
            <w:tcBorders>
              <w:top w:val="nil"/>
              <w:left w:val="nil"/>
              <w:bottom w:val="nil"/>
              <w:right w:val="nil"/>
            </w:tcBorders>
            <w:shd w:val="clear" w:color="auto" w:fill="auto"/>
            <w:noWrap/>
            <w:vAlign w:val="center"/>
          </w:tcPr>
          <w:p>
            <w:pPr>
              <w:jc w:val="center"/>
              <w:rPr>
                <w:rFonts w:hint="default" w:ascii="方正小标宋简体" w:hAnsi="方正小标宋简体" w:eastAsia="方正小标宋简体" w:cs="方正小标宋简体"/>
                <w:i w:val="0"/>
                <w:iCs w:val="0"/>
                <w:color w:val="000000"/>
                <w:sz w:val="40"/>
                <w:szCs w:val="40"/>
                <w:u w:val="none"/>
              </w:rPr>
            </w:pPr>
          </w:p>
        </w:tc>
        <w:tc>
          <w:tcPr>
            <w:tcW w:w="2618" w:type="dxa"/>
            <w:tcBorders>
              <w:top w:val="nil"/>
              <w:left w:val="nil"/>
              <w:bottom w:val="nil"/>
              <w:right w:val="nil"/>
            </w:tcBorders>
            <w:shd w:val="clear" w:color="auto" w:fill="auto"/>
            <w:noWrap/>
            <w:vAlign w:val="center"/>
          </w:tcPr>
          <w:p>
            <w:pPr>
              <w:jc w:val="center"/>
              <w:rPr>
                <w:rFonts w:hint="default" w:ascii="方正小标宋简体" w:hAnsi="方正小标宋简体" w:eastAsia="方正小标宋简体" w:cs="方正小标宋简体"/>
                <w:i w:val="0"/>
                <w:iCs w:val="0"/>
                <w:color w:val="000000"/>
                <w:sz w:val="40"/>
                <w:szCs w:val="40"/>
                <w:u w:val="none"/>
              </w:rPr>
            </w:pPr>
          </w:p>
        </w:tc>
        <w:tc>
          <w:tcPr>
            <w:tcW w:w="1677" w:type="dxa"/>
            <w:tcBorders>
              <w:top w:val="nil"/>
              <w:left w:val="nil"/>
              <w:bottom w:val="nil"/>
              <w:right w:val="nil"/>
            </w:tcBorders>
            <w:shd w:val="clear" w:color="auto" w:fill="auto"/>
            <w:noWrap/>
            <w:vAlign w:val="center"/>
          </w:tcPr>
          <w:p>
            <w:pPr>
              <w:jc w:val="center"/>
              <w:rPr>
                <w:rFonts w:hint="default" w:ascii="方正小标宋简体" w:hAnsi="方正小标宋简体" w:eastAsia="方正小标宋简体" w:cs="方正小标宋简体"/>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月份</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化学需氧量</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氨氮</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总磷</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水质类别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0.28</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0.04</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4"/>
                <w:rFonts w:hAnsi="宋体"/>
                <w:lang w:val="en-US" w:eastAsia="zh-CN" w:bidi="ar"/>
              </w:rPr>
              <w:t>Ⅱ</w:t>
            </w:r>
            <w:r>
              <w:rPr>
                <w:rFonts w:hint="eastAsia" w:ascii="宋体" w:hAnsi="宋体" w:eastAsia="宋体" w:cs="宋体"/>
                <w:i w:val="0"/>
                <w:iCs w:val="0"/>
                <w:color w:val="000000"/>
                <w:kern w:val="0"/>
                <w:sz w:val="22"/>
                <w:szCs w:val="22"/>
                <w:u w:val="none"/>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4"/>
                <w:rFonts w:hAnsi="宋体"/>
                <w:lang w:val="en-US" w:eastAsia="zh-CN" w:bidi="ar"/>
              </w:rPr>
              <w:t>Ⅱ</w:t>
            </w:r>
            <w:r>
              <w:rPr>
                <w:rFonts w:hint="eastAsia" w:ascii="宋体" w:hAnsi="宋体" w:eastAsia="宋体" w:cs="宋体"/>
                <w:i w:val="0"/>
                <w:iCs w:val="0"/>
                <w:color w:val="000000"/>
                <w:kern w:val="0"/>
                <w:sz w:val="22"/>
                <w:szCs w:val="22"/>
                <w:u w:val="none"/>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0.17</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4"/>
                <w:rFonts w:hAnsi="宋体"/>
                <w:lang w:val="en-US" w:eastAsia="zh-CN" w:bidi="ar"/>
              </w:rPr>
              <w:t>Ⅲ</w:t>
            </w:r>
            <w:r>
              <w:rPr>
                <w:rFonts w:hint="eastAsia" w:ascii="宋体" w:hAnsi="宋体" w:eastAsia="宋体" w:cs="宋体"/>
                <w:i w:val="0"/>
                <w:iCs w:val="0"/>
                <w:color w:val="000000"/>
                <w:kern w:val="0"/>
                <w:sz w:val="22"/>
                <w:szCs w:val="22"/>
                <w:u w:val="none"/>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0.04</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4"/>
                <w:rFonts w:hAnsi="宋体"/>
                <w:lang w:val="en-US" w:eastAsia="zh-CN" w:bidi="ar"/>
              </w:rPr>
              <w:t>Ⅱ</w:t>
            </w:r>
            <w:r>
              <w:rPr>
                <w:rFonts w:hint="eastAsia" w:ascii="宋体" w:hAnsi="宋体" w:eastAsia="宋体" w:cs="宋体"/>
                <w:i w:val="0"/>
                <w:iCs w:val="0"/>
                <w:color w:val="000000"/>
                <w:kern w:val="0"/>
                <w:sz w:val="22"/>
                <w:szCs w:val="22"/>
                <w:u w:val="none"/>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10</w:t>
            </w: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0.19</w:t>
            </w:r>
          </w:p>
        </w:tc>
        <w:tc>
          <w:tcPr>
            <w:tcW w:w="2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0.03</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4"/>
                <w:rFonts w:hAnsi="宋体"/>
                <w:lang w:val="en-US" w:eastAsia="zh-CN" w:bidi="ar"/>
              </w:rPr>
              <w:t>Ⅲ</w:t>
            </w:r>
            <w:r>
              <w:rPr>
                <w:rFonts w:hint="eastAsia" w:ascii="宋体" w:hAnsi="宋体" w:eastAsia="宋体" w:cs="宋体"/>
                <w:i w:val="0"/>
                <w:iCs w:val="0"/>
                <w:color w:val="000000"/>
                <w:kern w:val="0"/>
                <w:sz w:val="22"/>
                <w:szCs w:val="22"/>
                <w:u w:val="none"/>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w:t>
            </w:r>
          </w:p>
        </w:tc>
        <w:tc>
          <w:tcPr>
            <w:tcW w:w="2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4"/>
                <w:rFonts w:hAnsi="宋体"/>
                <w:lang w:val="en-US" w:eastAsia="zh-CN" w:bidi="ar"/>
              </w:rPr>
              <w:t>Ⅱ</w:t>
            </w:r>
            <w:r>
              <w:rPr>
                <w:rFonts w:hint="eastAsia" w:ascii="宋体" w:hAnsi="宋体" w:eastAsia="宋体" w:cs="宋体"/>
                <w:i w:val="0"/>
                <w:iCs w:val="0"/>
                <w:color w:val="000000"/>
                <w:kern w:val="0"/>
                <w:sz w:val="22"/>
                <w:szCs w:val="22"/>
                <w:u w:val="none"/>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c>
          <w:tcPr>
            <w:tcW w:w="2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4"/>
                <w:rFonts w:hAnsi="宋体"/>
                <w:lang w:val="en-US" w:eastAsia="zh-CN" w:bidi="ar"/>
              </w:rPr>
              <w:t>Ⅱ</w:t>
            </w:r>
            <w:r>
              <w:rPr>
                <w:rFonts w:hint="eastAsia" w:ascii="宋体" w:hAnsi="宋体" w:eastAsia="宋体" w:cs="宋体"/>
                <w:i w:val="0"/>
                <w:iCs w:val="0"/>
                <w:color w:val="000000"/>
                <w:kern w:val="0"/>
                <w:sz w:val="22"/>
                <w:szCs w:val="22"/>
                <w:u w:val="none"/>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0.04</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4"/>
                <w:rFonts w:hAnsi="宋体"/>
                <w:lang w:val="en-US" w:eastAsia="zh-CN" w:bidi="ar"/>
              </w:rPr>
              <w:t>Ⅱ</w:t>
            </w:r>
            <w:r>
              <w:rPr>
                <w:rFonts w:hint="eastAsia" w:ascii="宋体" w:hAnsi="宋体" w:eastAsia="宋体" w:cs="宋体"/>
                <w:i w:val="0"/>
                <w:iCs w:val="0"/>
                <w:color w:val="000000"/>
                <w:kern w:val="0"/>
                <w:sz w:val="22"/>
                <w:szCs w:val="22"/>
                <w:u w:val="none"/>
                <w:lang w:val="en-US" w:eastAsia="zh-CN" w:bidi="ar"/>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0.63</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0.56</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Fonts w:hint="default" w:ascii="仿宋_GB2312" w:hAnsi="宋体" w:eastAsia="仿宋_GB2312" w:cs="仿宋_GB2312"/>
                <w:i w:val="0"/>
                <w:iCs w:val="0"/>
                <w:color w:val="000000"/>
                <w:kern w:val="0"/>
                <w:sz w:val="22"/>
                <w:szCs w:val="22"/>
                <w:u w:val="none"/>
                <w:lang w:val="en-US" w:eastAsia="zh-CN" w:bidi="ar"/>
              </w:rPr>
              <w:t>劣Ⅴ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0.16</w:t>
            </w:r>
          </w:p>
        </w:tc>
        <w:tc>
          <w:tcPr>
            <w:tcW w:w="2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0.05</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2"/>
                <w:szCs w:val="22"/>
                <w:u w:val="none"/>
              </w:rPr>
            </w:pPr>
            <w:r>
              <w:rPr>
                <w:rStyle w:val="24"/>
                <w:rFonts w:hAnsi="宋体"/>
                <w:lang w:val="en-US" w:eastAsia="zh-CN" w:bidi="ar"/>
              </w:rPr>
              <w:t>Ⅱ</w:t>
            </w:r>
            <w:r>
              <w:rPr>
                <w:rFonts w:hint="eastAsia" w:ascii="宋体" w:hAnsi="宋体" w:eastAsia="宋体" w:cs="宋体"/>
                <w:i w:val="0"/>
                <w:iCs w:val="0"/>
                <w:color w:val="000000"/>
                <w:kern w:val="0"/>
                <w:sz w:val="22"/>
                <w:szCs w:val="22"/>
                <w:u w:val="none"/>
                <w:lang w:val="en-US" w:eastAsia="zh-CN" w:bidi="ar"/>
              </w:rPr>
              <w:t>类</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pacing w:val="7"/>
          <w:kern w:val="2"/>
          <w:sz w:val="24"/>
          <w:szCs w:val="24"/>
          <w:u w:val="none" w:color="auto"/>
          <w:lang w:val="en-US" w:eastAsia="zh-CN" w:bidi="ar-SA"/>
        </w:rPr>
      </w:pPr>
    </w:p>
    <w:sectPr>
      <w:pgSz w:w="16838" w:h="11906" w:orient="landscape"/>
      <w:pgMar w:top="1746" w:right="1440" w:bottom="1746" w:left="1440" w:header="851" w:footer="992" w:gutter="0"/>
      <w:paperSrc/>
      <w:pgNumType w:fmt="decimal"/>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0000000000000000000"/>
    <w:charset w:val="00"/>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32</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9F82A"/>
    <w:multiLevelType w:val="singleLevel"/>
    <w:tmpl w:val="A7B9F82A"/>
    <w:lvl w:ilvl="0" w:tentative="0">
      <w:start w:val="2"/>
      <w:numFmt w:val="decimal"/>
      <w:suff w:val="nothing"/>
      <w:lvlText w:val="（%1）"/>
      <w:lvlJc w:val="left"/>
    </w:lvl>
  </w:abstractNum>
  <w:abstractNum w:abstractNumId="1">
    <w:nsid w:val="DE8264F0"/>
    <w:multiLevelType w:val="multilevel"/>
    <w:tmpl w:val="DE8264F0"/>
    <w:lvl w:ilvl="0" w:tentative="0">
      <w:start w:val="1"/>
      <w:numFmt w:val="decimal"/>
      <w:pStyle w:val="2"/>
      <w:suff w:val="space"/>
      <w:lvlText w:val="%1"/>
      <w:lvlJc w:val="left"/>
      <w:pPr>
        <w:ind w:left="0" w:firstLine="0"/>
      </w:pPr>
      <w:rPr>
        <w:rFonts w:hint="default" w:ascii="Times New Roman" w:hAnsi="Times New Roman" w:eastAsia="宋体" w:cs="宋体"/>
        <w:b/>
        <w:sz w:val="32"/>
        <w:szCs w:val="32"/>
      </w:rPr>
    </w:lvl>
    <w:lvl w:ilvl="1" w:tentative="0">
      <w:start w:val="1"/>
      <w:numFmt w:val="decimal"/>
      <w:pStyle w:val="3"/>
      <w:suff w:val="space"/>
      <w:lvlText w:val="%1.%2"/>
      <w:lvlJc w:val="left"/>
      <w:pPr>
        <w:ind w:left="0" w:firstLine="0"/>
      </w:pPr>
      <w:rPr>
        <w:rFonts w:hint="default" w:ascii="Times New Roman" w:hAnsi="Times New Roman" w:eastAsia="宋体" w:cs="宋体"/>
        <w:sz w:val="30"/>
        <w:szCs w:val="30"/>
      </w:rPr>
    </w:lvl>
    <w:lvl w:ilvl="2" w:tentative="0">
      <w:start w:val="1"/>
      <w:numFmt w:val="decimal"/>
      <w:pStyle w:val="4"/>
      <w:suff w:val="space"/>
      <w:lvlText w:val="%1.%2.%3"/>
      <w:lvlJc w:val="left"/>
      <w:pPr>
        <w:tabs>
          <w:tab w:val="left" w:pos="0"/>
        </w:tabs>
        <w:ind w:left="0" w:firstLine="0"/>
      </w:pPr>
      <w:rPr>
        <w:rFonts w:hint="default" w:ascii="Times New Roman" w:hAnsi="Times New Roman" w:eastAsia="黑体" w:cs="宋体"/>
        <w:b w:val="0"/>
        <w:sz w:val="28"/>
        <w:szCs w:val="28"/>
      </w:rPr>
    </w:lvl>
    <w:lvl w:ilvl="3" w:tentative="0">
      <w:start w:val="1"/>
      <w:numFmt w:val="decimal"/>
      <w:lvlRestart w:val="2"/>
      <w:pStyle w:val="5"/>
      <w:suff w:val="space"/>
      <w:lvlText w:val="表%1.%2-%4"/>
      <w:lvlJc w:val="center"/>
      <w:pPr>
        <w:ind w:left="0" w:firstLine="0"/>
      </w:pPr>
      <w:rPr>
        <w:b/>
        <w:bCs w:val="0"/>
        <w:i w:val="0"/>
        <w:iCs w:val="0"/>
        <w:caps w:val="0"/>
        <w:smallCaps w:val="0"/>
        <w:strike w:val="0"/>
        <w:dstrike w:val="0"/>
        <w:vanish w:val="0"/>
        <w:spacing w:val="0"/>
        <w:position w:val="0"/>
        <w:u w:val="none"/>
        <w:vertAlign w:val="baseline"/>
      </w:rPr>
    </w:lvl>
    <w:lvl w:ilvl="4" w:tentative="0">
      <w:start w:val="1"/>
      <w:numFmt w:val="decimal"/>
      <w:pStyle w:val="6"/>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yNWI3MWI2Y2UwYWM3M2EyYzEyNDk4NDA4YjVhOWEifQ=="/>
  </w:docVars>
  <w:rsids>
    <w:rsidRoot w:val="6E964CF5"/>
    <w:rsid w:val="025C116B"/>
    <w:rsid w:val="05C835DD"/>
    <w:rsid w:val="073478F0"/>
    <w:rsid w:val="0A455DFA"/>
    <w:rsid w:val="0C1D2D86"/>
    <w:rsid w:val="1B140288"/>
    <w:rsid w:val="1D2E7D24"/>
    <w:rsid w:val="4B6E2D6F"/>
    <w:rsid w:val="50EB184B"/>
    <w:rsid w:val="55F35448"/>
    <w:rsid w:val="65343B65"/>
    <w:rsid w:val="688E5EF7"/>
    <w:rsid w:val="68A613C0"/>
    <w:rsid w:val="6E964CF5"/>
    <w:rsid w:val="754D1541"/>
    <w:rsid w:val="76CF5F86"/>
    <w:rsid w:val="76F4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0"/>
      </w:tabs>
      <w:spacing w:before="50" w:beforeLines="50" w:after="100" w:afterLines="100"/>
      <w:ind w:firstLineChars="0"/>
      <w:jc w:val="center"/>
      <w:outlineLvl w:val="0"/>
    </w:pPr>
    <w:rPr>
      <w:rFonts w:eastAsia="黑体"/>
      <w:b/>
      <w:kern w:val="44"/>
      <w:sz w:val="32"/>
      <w:szCs w:val="32"/>
    </w:rPr>
  </w:style>
  <w:style w:type="paragraph" w:styleId="3">
    <w:name w:val="heading 2"/>
    <w:basedOn w:val="1"/>
    <w:next w:val="1"/>
    <w:unhideWhenUsed/>
    <w:qFormat/>
    <w:uiPriority w:val="0"/>
    <w:pPr>
      <w:keepNext/>
      <w:keepLines/>
      <w:numPr>
        <w:ilvl w:val="1"/>
        <w:numId w:val="1"/>
      </w:numPr>
      <w:tabs>
        <w:tab w:val="left" w:pos="0"/>
      </w:tabs>
      <w:spacing w:before="50" w:beforeLines="50"/>
      <w:ind w:firstLineChars="0"/>
      <w:outlineLvl w:val="1"/>
    </w:pPr>
    <w:rPr>
      <w:b/>
      <w:sz w:val="30"/>
      <w:szCs w:val="30"/>
    </w:rPr>
  </w:style>
  <w:style w:type="paragraph" w:styleId="4">
    <w:name w:val="heading 3"/>
    <w:basedOn w:val="1"/>
    <w:next w:val="1"/>
    <w:unhideWhenUsed/>
    <w:qFormat/>
    <w:uiPriority w:val="0"/>
    <w:pPr>
      <w:keepNext/>
      <w:keepLines/>
      <w:numPr>
        <w:ilvl w:val="2"/>
        <w:numId w:val="1"/>
      </w:numPr>
      <w:tabs>
        <w:tab w:val="left" w:pos="420"/>
      </w:tabs>
      <w:ind w:left="0" w:firstLineChars="0"/>
      <w:outlineLvl w:val="2"/>
    </w:pPr>
    <w:rPr>
      <w:rFonts w:eastAsia="黑体"/>
      <w:sz w:val="28"/>
      <w:szCs w:val="28"/>
    </w:rPr>
  </w:style>
  <w:style w:type="paragraph" w:styleId="5">
    <w:name w:val="heading 4"/>
    <w:basedOn w:val="1"/>
    <w:next w:val="1"/>
    <w:unhideWhenUsed/>
    <w:qFormat/>
    <w:uiPriority w:val="0"/>
    <w:pPr>
      <w:keepNext/>
      <w:keepLines/>
      <w:numPr>
        <w:ilvl w:val="3"/>
        <w:numId w:val="1"/>
      </w:numPr>
      <w:tabs>
        <w:tab w:val="left" w:pos="0"/>
      </w:tabs>
      <w:spacing w:after="60" w:line="240" w:lineRule="auto"/>
      <w:ind w:firstLineChars="0"/>
      <w:jc w:val="center"/>
      <w:outlineLvl w:val="3"/>
    </w:pPr>
    <w:rPr>
      <w:rFonts w:eastAsia="黑体"/>
      <w:b/>
      <w:szCs w:val="21"/>
    </w:rPr>
  </w:style>
  <w:style w:type="paragraph" w:styleId="6">
    <w:name w:val="heading 5"/>
    <w:basedOn w:val="1"/>
    <w:next w:val="1"/>
    <w:unhideWhenUsed/>
    <w:qFormat/>
    <w:uiPriority w:val="0"/>
    <w:pPr>
      <w:keepNext/>
      <w:keepLines/>
      <w:numPr>
        <w:ilvl w:val="4"/>
        <w:numId w:val="1"/>
      </w:numPr>
      <w:tabs>
        <w:tab w:val="left" w:pos="0"/>
      </w:tabs>
      <w:spacing w:before="50" w:beforeLines="50" w:line="360" w:lineRule="auto"/>
      <w:ind w:left="1008" w:hanging="1008" w:firstLineChars="0"/>
      <w:jc w:val="center"/>
      <w:outlineLvl w:val="4"/>
    </w:pPr>
    <w:rPr>
      <w:b/>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style>
  <w:style w:type="paragraph" w:styleId="8">
    <w:name w:val="Plain Text"/>
    <w:basedOn w:val="1"/>
    <w:unhideWhenUsed/>
    <w:qFormat/>
    <w:uiPriority w:val="99"/>
    <w:rPr>
      <w:rFonts w:ascii="宋体" w:hAnsi="Courier New"/>
      <w:szCs w:val="21"/>
    </w:rPr>
  </w:style>
  <w:style w:type="paragraph" w:styleId="9">
    <w:name w:val="footer"/>
    <w:basedOn w:val="1"/>
    <w:qFormat/>
    <w:uiPriority w:val="0"/>
    <w:pPr>
      <w:tabs>
        <w:tab w:val="center" w:pos="4153"/>
        <w:tab w:val="right" w:pos="8306"/>
      </w:tabs>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iPriority w:val="0"/>
  </w:style>
  <w:style w:type="paragraph" w:styleId="12">
    <w:name w:val="toc 2"/>
    <w:basedOn w:val="1"/>
    <w:next w:val="1"/>
    <w:uiPriority w:val="0"/>
    <w:pPr>
      <w:ind w:left="420" w:leftChars="200"/>
    </w:pPr>
  </w:style>
  <w:style w:type="paragraph" w:styleId="13">
    <w:name w:val="Body Text First Indent"/>
    <w:basedOn w:val="7"/>
    <w:qFormat/>
    <w:uiPriority w:val="0"/>
    <w:pPr>
      <w:ind w:firstLine="420" w:firstLineChars="1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
    <w:name w:val="Table Text"/>
    <w:basedOn w:val="1"/>
    <w:semiHidden/>
    <w:qFormat/>
    <w:uiPriority w:val="0"/>
    <w:rPr>
      <w:rFonts w:ascii="宋体" w:hAnsi="宋体" w:eastAsia="宋体" w:cs="宋体"/>
      <w:sz w:val="24"/>
      <w:szCs w:val="24"/>
      <w:lang w:val="en-US" w:eastAsia="en-US" w:bidi="ar-SA"/>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表格"/>
    <w:basedOn w:val="1"/>
    <w:qFormat/>
    <w:uiPriority w:val="0"/>
    <w:pPr>
      <w:spacing w:line="240" w:lineRule="auto"/>
      <w:ind w:firstLine="0" w:firstLineChars="0"/>
      <w:jc w:val="center"/>
    </w:pPr>
    <w:rPr>
      <w:rFonts w:hint="eastAsia"/>
      <w:sz w:val="21"/>
      <w:szCs w:val="21"/>
    </w:rPr>
  </w:style>
  <w:style w:type="paragraph" w:customStyle="1" w:styleId="20">
    <w:name w:val="Table Paragraph"/>
    <w:basedOn w:val="1"/>
    <w:qFormat/>
    <w:uiPriority w:val="1"/>
  </w:style>
  <w:style w:type="character" w:customStyle="1" w:styleId="21">
    <w:name w:val="font41"/>
    <w:basedOn w:val="16"/>
    <w:uiPriority w:val="0"/>
    <w:rPr>
      <w:rFonts w:hint="default" w:ascii="方正小标宋简体" w:hAnsi="方正小标宋简体" w:eastAsia="方正小标宋简体" w:cs="方正小标宋简体"/>
      <w:color w:val="000000"/>
      <w:sz w:val="22"/>
      <w:szCs w:val="22"/>
      <w:u w:val="none"/>
    </w:rPr>
  </w:style>
  <w:style w:type="character" w:customStyle="1" w:styleId="22">
    <w:name w:val="font21"/>
    <w:basedOn w:val="16"/>
    <w:uiPriority w:val="0"/>
    <w:rPr>
      <w:rFonts w:hint="default" w:ascii="仿宋_GB2312" w:eastAsia="仿宋_GB2312" w:cs="仿宋_GB2312"/>
      <w:color w:val="000000"/>
      <w:sz w:val="22"/>
      <w:szCs w:val="22"/>
      <w:u w:val="none"/>
    </w:rPr>
  </w:style>
  <w:style w:type="character" w:customStyle="1" w:styleId="23">
    <w:name w:val="font01"/>
    <w:basedOn w:val="16"/>
    <w:uiPriority w:val="0"/>
    <w:rPr>
      <w:rFonts w:hint="eastAsia" w:ascii="宋体" w:hAnsi="宋体" w:eastAsia="宋体" w:cs="宋体"/>
      <w:color w:val="000000"/>
      <w:sz w:val="22"/>
      <w:szCs w:val="22"/>
      <w:u w:val="none"/>
    </w:rPr>
  </w:style>
  <w:style w:type="character" w:customStyle="1" w:styleId="24">
    <w:name w:val="font11"/>
    <w:basedOn w:val="16"/>
    <w:uiPriority w:val="0"/>
    <w:rPr>
      <w:rFonts w:hint="default" w:ascii="仿宋_GB2312" w:eastAsia="仿宋_GB2312" w:cs="仿宋_GB2312"/>
      <w:color w:val="000000"/>
      <w:sz w:val="22"/>
      <w:szCs w:val="22"/>
      <w:u w:val="none"/>
    </w:rPr>
  </w:style>
  <w:style w:type="paragraph" w:customStyle="1" w:styleId="25">
    <w:name w:val="WPSOffice手动目录 1"/>
    <w:uiPriority w:val="0"/>
    <w:pPr>
      <w:ind w:leftChars="0"/>
    </w:pPr>
    <w:rPr>
      <w:sz w:val="20"/>
      <w:szCs w:val="20"/>
    </w:rPr>
  </w:style>
  <w:style w:type="paragraph" w:customStyle="1" w:styleId="26">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11399</Words>
  <Characters>13985</Characters>
  <Lines>1</Lines>
  <Paragraphs>1</Paragraphs>
  <TotalTime>5</TotalTime>
  <ScaleCrop>false</ScaleCrop>
  <LinksUpToDate>false</LinksUpToDate>
  <CharactersWithSpaces>14067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2024-06-13T08:48:00Z</dcterms:created>
  <dc:creator>佛珠</dc:creator>
  <cp:lastModifiedBy>佛珠</cp:lastModifiedBy>
  <dcterms:modified xsi:type="dcterms:W3CDTF">2024-07-03T16:37:39Z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19126B64FD8D47BDA068CBCC638C6D77_13</vt:lpwstr>
  </property>
</Properties>
</file>